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8A629" w14:textId="7088632A" w:rsidR="00A506CD" w:rsidRPr="00A506CD" w:rsidRDefault="00A506CD" w:rsidP="00A506CD">
      <w:pPr>
        <w:pStyle w:val="Zkladntext20"/>
        <w:pBdr>
          <w:bottom w:val="single" w:sz="4" w:space="1" w:color="auto"/>
        </w:pBdr>
        <w:shd w:val="clear" w:color="auto" w:fill="auto"/>
        <w:rPr>
          <w:rFonts w:ascii="Segoe UI" w:hAnsi="Segoe UI" w:cs="Segoe UI"/>
          <w:sz w:val="22"/>
          <w:szCs w:val="22"/>
        </w:rPr>
      </w:pPr>
      <w:r>
        <w:rPr>
          <w:rFonts w:ascii="Segoe UI" w:hAnsi="Segoe UI" w:cs="Segoe UI"/>
          <w:caps/>
          <w:sz w:val="22"/>
          <w:szCs w:val="22"/>
        </w:rPr>
        <w:t xml:space="preserve">Příloha č. 4 </w:t>
      </w:r>
      <w:r w:rsidR="006835AA">
        <w:rPr>
          <w:rFonts w:ascii="Segoe UI" w:hAnsi="Segoe UI" w:cs="Segoe UI"/>
          <w:caps/>
          <w:sz w:val="22"/>
          <w:szCs w:val="22"/>
        </w:rPr>
        <w:t>ZD</w:t>
      </w:r>
      <w:r>
        <w:rPr>
          <w:rFonts w:ascii="Segoe UI" w:hAnsi="Segoe UI" w:cs="Segoe UI"/>
          <w:sz w:val="22"/>
          <w:szCs w:val="22"/>
        </w:rPr>
        <w:t xml:space="preserve"> na dodávky volně ložené posypové soli granulace F </w:t>
      </w:r>
      <w:r w:rsidRPr="00A506CD">
        <w:rPr>
          <w:rFonts w:ascii="Segoe UI" w:hAnsi="Segoe UI" w:cs="Segoe UI"/>
          <w:sz w:val="22"/>
          <w:szCs w:val="22"/>
          <w:lang w:bidi="cs-CZ"/>
        </w:rPr>
        <w:t>pro zimní údržbu komunikací, pro provádění chemického rozmrazovacího posypu a pro výrobu solanky</w:t>
      </w:r>
    </w:p>
    <w:p w14:paraId="4E2B6A41" w14:textId="77777777" w:rsidR="00A506CD" w:rsidRDefault="00A506CD" w:rsidP="00A506CD">
      <w:pPr>
        <w:pStyle w:val="Zkladntext20"/>
        <w:shd w:val="clear" w:color="auto" w:fill="auto"/>
        <w:rPr>
          <w:rFonts w:ascii="Segoe UI" w:hAnsi="Segoe UI" w:cs="Segoe UI"/>
        </w:rPr>
      </w:pPr>
    </w:p>
    <w:p w14:paraId="25C5DEAF" w14:textId="77777777" w:rsidR="00A506CD" w:rsidRDefault="00A506CD" w:rsidP="00A506CD">
      <w:pPr>
        <w:pStyle w:val="Zkladntext20"/>
        <w:shd w:val="clear" w:color="auto" w:fill="auto"/>
        <w:rPr>
          <w:rFonts w:ascii="Segoe UI" w:hAnsi="Segoe UI" w:cs="Segoe UI"/>
          <w:sz w:val="22"/>
          <w:szCs w:val="22"/>
        </w:rPr>
      </w:pPr>
    </w:p>
    <w:p w14:paraId="72982716" w14:textId="7F98B4B4" w:rsidR="00A506CD" w:rsidRDefault="00A506CD" w:rsidP="00A506CD">
      <w:pPr>
        <w:pStyle w:val="Zkladntext20"/>
        <w:shd w:val="clear" w:color="auto" w:fill="auto"/>
        <w:rPr>
          <w:rFonts w:ascii="Segoe UI" w:hAnsi="Segoe UI" w:cs="Segoe UI"/>
          <w:sz w:val="22"/>
          <w:szCs w:val="22"/>
        </w:rPr>
      </w:pPr>
      <w:r w:rsidRPr="00A506CD">
        <w:rPr>
          <w:rFonts w:ascii="Segoe UI" w:hAnsi="Segoe UI" w:cs="Segoe UI"/>
          <w:sz w:val="22"/>
          <w:szCs w:val="22"/>
        </w:rPr>
        <w:t>Metodika zadavatele k provedení Analýzy množství nerozpustných látek</w:t>
      </w:r>
      <w:r w:rsidR="00453D68">
        <w:rPr>
          <w:rFonts w:ascii="Segoe UI" w:hAnsi="Segoe UI" w:cs="Segoe UI"/>
          <w:sz w:val="22"/>
          <w:szCs w:val="22"/>
        </w:rPr>
        <w:t xml:space="preserve"> v nabízeném předmětu zakázky</w:t>
      </w:r>
      <w:r w:rsidR="00443DB1">
        <w:rPr>
          <w:rFonts w:ascii="Segoe UI" w:hAnsi="Segoe UI" w:cs="Segoe UI"/>
          <w:sz w:val="22"/>
          <w:szCs w:val="22"/>
        </w:rPr>
        <w:t>:</w:t>
      </w:r>
      <w:r w:rsidRPr="00A506CD">
        <w:rPr>
          <w:rFonts w:ascii="Segoe UI" w:hAnsi="Segoe UI" w:cs="Segoe UI"/>
          <w:sz w:val="22"/>
          <w:szCs w:val="22"/>
        </w:rPr>
        <w:t xml:space="preserve"> </w:t>
      </w:r>
    </w:p>
    <w:p w14:paraId="4118FB3E" w14:textId="77777777" w:rsidR="00443DB1" w:rsidRDefault="00443DB1" w:rsidP="00443DB1">
      <w:pPr>
        <w:spacing w:line="360" w:lineRule="auto"/>
        <w:jc w:val="both"/>
        <w:rPr>
          <w:i/>
        </w:rPr>
      </w:pPr>
    </w:p>
    <w:p w14:paraId="0B565513" w14:textId="77777777" w:rsidR="00443DB1" w:rsidRPr="00443DB1" w:rsidRDefault="00443DB1" w:rsidP="00443DB1">
      <w:pPr>
        <w:spacing w:line="360" w:lineRule="auto"/>
        <w:jc w:val="both"/>
        <w:rPr>
          <w:sz w:val="22"/>
          <w:szCs w:val="22"/>
        </w:rPr>
      </w:pPr>
      <w:r w:rsidRPr="00443DB1">
        <w:rPr>
          <w:sz w:val="22"/>
          <w:szCs w:val="22"/>
          <w:u w:val="single"/>
        </w:rPr>
        <w:t>Požadovaný postup:</w:t>
      </w:r>
      <w:r w:rsidRPr="00443DB1">
        <w:rPr>
          <w:sz w:val="22"/>
          <w:szCs w:val="22"/>
        </w:rPr>
        <w:t xml:space="preserve"> </w:t>
      </w:r>
    </w:p>
    <w:p w14:paraId="5D1E9216" w14:textId="3383AB6D" w:rsidR="00443DB1" w:rsidRPr="00453D68" w:rsidRDefault="00443DB1" w:rsidP="00443DB1">
      <w:pPr>
        <w:spacing w:line="360" w:lineRule="auto"/>
        <w:jc w:val="both"/>
        <w:rPr>
          <w:bCs/>
          <w:sz w:val="22"/>
          <w:szCs w:val="22"/>
        </w:rPr>
      </w:pPr>
      <w:r w:rsidRPr="00443DB1">
        <w:rPr>
          <w:sz w:val="22"/>
          <w:szCs w:val="22"/>
        </w:rPr>
        <w:t xml:space="preserve">Z každého vzorku posypové soli bude připraven roztok soli </w:t>
      </w:r>
      <w:r w:rsidR="00453D68">
        <w:rPr>
          <w:sz w:val="22"/>
          <w:szCs w:val="22"/>
        </w:rPr>
        <w:t xml:space="preserve">a destilované vody </w:t>
      </w:r>
      <w:r w:rsidRPr="00443DB1">
        <w:rPr>
          <w:sz w:val="22"/>
          <w:szCs w:val="22"/>
        </w:rPr>
        <w:t xml:space="preserve">(hmotnost </w:t>
      </w:r>
      <w:proofErr w:type="gramStart"/>
      <w:r w:rsidRPr="00443DB1">
        <w:rPr>
          <w:sz w:val="22"/>
          <w:szCs w:val="22"/>
        </w:rPr>
        <w:t xml:space="preserve">soli  </w:t>
      </w:r>
      <w:r w:rsidRPr="00453D68">
        <w:rPr>
          <w:bCs/>
          <w:sz w:val="22"/>
          <w:szCs w:val="22"/>
        </w:rPr>
        <w:t>m</w:t>
      </w:r>
      <w:proofErr w:type="gramEnd"/>
      <w:r w:rsidRPr="00453D68">
        <w:rPr>
          <w:bCs/>
          <w:sz w:val="22"/>
          <w:szCs w:val="22"/>
          <w:vertAlign w:val="subscript"/>
        </w:rPr>
        <w:t>0</w:t>
      </w:r>
      <w:r w:rsidRPr="00453D68">
        <w:rPr>
          <w:bCs/>
          <w:sz w:val="22"/>
          <w:szCs w:val="22"/>
        </w:rPr>
        <w:t xml:space="preserve"> = </w:t>
      </w:r>
      <w:smartTag w:uri="urn:schemas-microsoft-com:office:smarttags" w:element="metricconverter">
        <w:smartTagPr>
          <w:attr w:name="ProductID" w:val="1000 g"/>
        </w:smartTagPr>
        <w:r w:rsidRPr="00453D68">
          <w:rPr>
            <w:bCs/>
            <w:sz w:val="22"/>
            <w:szCs w:val="22"/>
          </w:rPr>
          <w:t>1000 g</w:t>
        </w:r>
      </w:smartTag>
      <w:r w:rsidRPr="00453D68">
        <w:rPr>
          <w:bCs/>
          <w:sz w:val="22"/>
          <w:szCs w:val="22"/>
        </w:rPr>
        <w:t xml:space="preserve">; objem přidané destilované vody 4000 ml). </w:t>
      </w:r>
      <w:r w:rsidR="00453D68" w:rsidRPr="00453D68">
        <w:rPr>
          <w:bCs/>
          <w:sz w:val="22"/>
          <w:szCs w:val="22"/>
        </w:rPr>
        <w:t>Vzorek soli</w:t>
      </w:r>
      <w:r w:rsidRPr="00453D68">
        <w:rPr>
          <w:bCs/>
          <w:sz w:val="22"/>
          <w:szCs w:val="22"/>
        </w:rPr>
        <w:t xml:space="preserve"> nebude nijak upravován (drcením, </w:t>
      </w:r>
      <w:proofErr w:type="gramStart"/>
      <w:r w:rsidRPr="00453D68">
        <w:rPr>
          <w:bCs/>
          <w:sz w:val="22"/>
          <w:szCs w:val="22"/>
        </w:rPr>
        <w:t>mletím</w:t>
      </w:r>
      <w:r w:rsidR="00453D68" w:rsidRPr="00453D68">
        <w:rPr>
          <w:bCs/>
          <w:sz w:val="22"/>
          <w:szCs w:val="22"/>
        </w:rPr>
        <w:t>,</w:t>
      </w:r>
      <w:proofErr w:type="gramEnd"/>
      <w:r w:rsidR="00453D68" w:rsidRPr="00453D68">
        <w:rPr>
          <w:bCs/>
          <w:sz w:val="22"/>
          <w:szCs w:val="22"/>
        </w:rPr>
        <w:t xml:space="preserve"> apod.</w:t>
      </w:r>
      <w:r w:rsidRPr="00453D68">
        <w:rPr>
          <w:bCs/>
          <w:sz w:val="22"/>
          <w:szCs w:val="22"/>
        </w:rPr>
        <w:t>). K přípravě roztoků bude použita destilovaná voda o laboratorní teplotě. Roztok bude míchán 2 hod pomocí magnetického míchadla při laboratorní teplotě nebo třepáním v uzavřené PET lahvi na horizontální třepačce. Dále budou roztoky přefiltrovány pomocí předem vysušeného a zváženého kovového síta (hmotnost m</w:t>
      </w:r>
      <w:r w:rsidRPr="00453D68">
        <w:rPr>
          <w:bCs/>
          <w:sz w:val="22"/>
          <w:szCs w:val="22"/>
          <w:vertAlign w:val="subscript"/>
        </w:rPr>
        <w:t>1</w:t>
      </w:r>
      <w:r w:rsidRPr="00453D68">
        <w:rPr>
          <w:bCs/>
          <w:sz w:val="22"/>
          <w:szCs w:val="22"/>
        </w:rPr>
        <w:t xml:space="preserve"> v </w:t>
      </w:r>
      <w:proofErr w:type="gramStart"/>
      <w:r w:rsidRPr="00453D68">
        <w:rPr>
          <w:bCs/>
          <w:sz w:val="22"/>
          <w:szCs w:val="22"/>
        </w:rPr>
        <w:t>g)</w:t>
      </w:r>
      <w:r w:rsidR="00453D68" w:rsidRPr="00453D68">
        <w:rPr>
          <w:bCs/>
          <w:sz w:val="22"/>
          <w:szCs w:val="22"/>
        </w:rPr>
        <w:t xml:space="preserve"> </w:t>
      </w:r>
      <w:r w:rsidRPr="00453D68">
        <w:rPr>
          <w:bCs/>
          <w:sz w:val="22"/>
          <w:szCs w:val="22"/>
        </w:rPr>
        <w:t xml:space="preserve">  </w:t>
      </w:r>
      <w:proofErr w:type="gramEnd"/>
      <w:r w:rsidRPr="00453D68">
        <w:rPr>
          <w:bCs/>
          <w:sz w:val="22"/>
          <w:szCs w:val="22"/>
        </w:rPr>
        <w:t xml:space="preserve">s velikostí ok  0,063 mm (síto DIN 4188). Nerozpustné látky (NL) zachycené na sítu budou důkladně několikrát promyty pomocí destilované vody (odstranění roztoku soli, který by zvyšoval podíl NL). Poté bude síto obsahující NL následně vysušeno při 105 </w:t>
      </w:r>
      <w:proofErr w:type="spellStart"/>
      <w:r w:rsidRPr="00453D68">
        <w:rPr>
          <w:bCs/>
          <w:sz w:val="22"/>
          <w:szCs w:val="22"/>
          <w:vertAlign w:val="superscript"/>
        </w:rPr>
        <w:t>o</w:t>
      </w:r>
      <w:r w:rsidRPr="00453D68">
        <w:rPr>
          <w:bCs/>
          <w:sz w:val="22"/>
          <w:szCs w:val="22"/>
        </w:rPr>
        <w:t>C</w:t>
      </w:r>
      <w:proofErr w:type="spellEnd"/>
      <w:r w:rsidRPr="00453D68">
        <w:rPr>
          <w:bCs/>
          <w:sz w:val="22"/>
          <w:szCs w:val="22"/>
        </w:rPr>
        <w:t xml:space="preserve"> a zváženo (hmotnost m</w:t>
      </w:r>
      <w:r w:rsidRPr="00453D68">
        <w:rPr>
          <w:bCs/>
          <w:sz w:val="22"/>
          <w:szCs w:val="22"/>
          <w:vertAlign w:val="subscript"/>
        </w:rPr>
        <w:t>2</w:t>
      </w:r>
      <w:r w:rsidRPr="00453D68">
        <w:rPr>
          <w:bCs/>
          <w:sz w:val="22"/>
          <w:szCs w:val="22"/>
        </w:rPr>
        <w:t xml:space="preserve"> v g). Hmotnost NL obsažených v daném vzorku, m (v g), je dána rozdílem:</w:t>
      </w:r>
    </w:p>
    <w:p w14:paraId="78D73DB1" w14:textId="76C04EDF" w:rsidR="00443DB1" w:rsidRPr="00443DB1" w:rsidRDefault="00443DB1" w:rsidP="00443DB1">
      <w:pPr>
        <w:spacing w:line="360" w:lineRule="auto"/>
        <w:jc w:val="both"/>
        <w:rPr>
          <w:sz w:val="22"/>
          <w:szCs w:val="22"/>
        </w:rPr>
      </w:pPr>
      <w:r w:rsidRPr="00443DB1">
        <w:rPr>
          <w:b/>
          <w:sz w:val="22"/>
          <w:szCs w:val="22"/>
        </w:rPr>
        <w:t>m =</w:t>
      </w:r>
      <w:r w:rsidRPr="00443DB1">
        <w:rPr>
          <w:sz w:val="22"/>
          <w:szCs w:val="22"/>
        </w:rPr>
        <w:t xml:space="preserve"> </w:t>
      </w:r>
      <w:r w:rsidRPr="00443DB1">
        <w:rPr>
          <w:b/>
          <w:sz w:val="22"/>
          <w:szCs w:val="22"/>
        </w:rPr>
        <w:t>m</w:t>
      </w:r>
      <w:r w:rsidRPr="00443DB1">
        <w:rPr>
          <w:b/>
          <w:sz w:val="22"/>
          <w:szCs w:val="22"/>
          <w:vertAlign w:val="subscript"/>
        </w:rPr>
        <w:t>2</w:t>
      </w:r>
      <w:r w:rsidRPr="00443DB1">
        <w:rPr>
          <w:sz w:val="22"/>
          <w:szCs w:val="22"/>
        </w:rPr>
        <w:t xml:space="preserve"> - </w:t>
      </w:r>
      <w:r w:rsidRPr="00443DB1">
        <w:rPr>
          <w:b/>
          <w:sz w:val="22"/>
          <w:szCs w:val="22"/>
        </w:rPr>
        <w:t>m</w:t>
      </w:r>
      <w:r w:rsidRPr="00443DB1">
        <w:rPr>
          <w:b/>
          <w:sz w:val="22"/>
          <w:szCs w:val="22"/>
          <w:vertAlign w:val="subscript"/>
        </w:rPr>
        <w:t>1</w:t>
      </w:r>
      <w:r w:rsidRPr="00443DB1">
        <w:rPr>
          <w:sz w:val="22"/>
          <w:szCs w:val="22"/>
        </w:rPr>
        <w:t xml:space="preserve"> </w:t>
      </w:r>
      <w:r w:rsidR="00547D52">
        <w:rPr>
          <w:sz w:val="22"/>
          <w:szCs w:val="22"/>
        </w:rPr>
        <w:t xml:space="preserve">  </w:t>
      </w:r>
      <w:r w:rsidR="00547D52">
        <w:rPr>
          <w:sz w:val="22"/>
          <w:szCs w:val="22"/>
        </w:rPr>
        <w:tab/>
      </w:r>
    </w:p>
    <w:p w14:paraId="7466981F" w14:textId="77777777" w:rsidR="00443DB1" w:rsidRPr="00443DB1" w:rsidRDefault="00443DB1" w:rsidP="00443DB1">
      <w:pPr>
        <w:spacing w:line="360" w:lineRule="auto"/>
        <w:jc w:val="both"/>
        <w:rPr>
          <w:sz w:val="22"/>
          <w:szCs w:val="22"/>
        </w:rPr>
      </w:pPr>
      <w:r w:rsidRPr="00443DB1">
        <w:rPr>
          <w:sz w:val="22"/>
          <w:szCs w:val="22"/>
        </w:rPr>
        <w:t xml:space="preserve">a obsah NL v hmotnostních procentech „hm.%“ ve vzorku soli, </w:t>
      </w:r>
      <w:proofErr w:type="spellStart"/>
      <w:r w:rsidRPr="00443DB1">
        <w:rPr>
          <w:b/>
          <w:sz w:val="22"/>
          <w:szCs w:val="22"/>
        </w:rPr>
        <w:t>p</w:t>
      </w:r>
      <w:r w:rsidRPr="00443DB1">
        <w:rPr>
          <w:b/>
          <w:sz w:val="22"/>
          <w:szCs w:val="22"/>
          <w:vertAlign w:val="subscript"/>
        </w:rPr>
        <w:t>NL</w:t>
      </w:r>
      <w:proofErr w:type="spellEnd"/>
      <w:r w:rsidRPr="00443DB1">
        <w:rPr>
          <w:sz w:val="22"/>
          <w:szCs w:val="22"/>
        </w:rPr>
        <w:t>, je dán vzorcem:</w:t>
      </w:r>
    </w:p>
    <w:p w14:paraId="1EE6E1F6" w14:textId="7BDE8A6B" w:rsidR="00443DB1" w:rsidRPr="00443DB1" w:rsidRDefault="00443DB1" w:rsidP="00443DB1">
      <w:pPr>
        <w:spacing w:line="360" w:lineRule="auto"/>
        <w:jc w:val="both"/>
        <w:rPr>
          <w:sz w:val="22"/>
          <w:szCs w:val="22"/>
        </w:rPr>
      </w:pPr>
      <w:proofErr w:type="spellStart"/>
      <w:r w:rsidRPr="00443DB1">
        <w:rPr>
          <w:b/>
          <w:sz w:val="22"/>
          <w:szCs w:val="22"/>
        </w:rPr>
        <w:t>p</w:t>
      </w:r>
      <w:r w:rsidRPr="00443DB1">
        <w:rPr>
          <w:b/>
          <w:sz w:val="22"/>
          <w:szCs w:val="22"/>
          <w:vertAlign w:val="subscript"/>
        </w:rPr>
        <w:t>NL</w:t>
      </w:r>
      <w:proofErr w:type="spellEnd"/>
      <w:r w:rsidRPr="00443DB1">
        <w:rPr>
          <w:sz w:val="22"/>
          <w:szCs w:val="22"/>
        </w:rPr>
        <w:t xml:space="preserve"> = </w:t>
      </w:r>
      <w:r w:rsidRPr="00443DB1">
        <w:rPr>
          <w:b/>
          <w:sz w:val="22"/>
          <w:szCs w:val="22"/>
        </w:rPr>
        <w:t>m</w:t>
      </w:r>
      <w:r w:rsidRPr="00443DB1">
        <w:rPr>
          <w:sz w:val="22"/>
          <w:szCs w:val="22"/>
        </w:rPr>
        <w:t xml:space="preserve"> </w:t>
      </w:r>
      <w:r w:rsidRPr="00443DB1">
        <w:rPr>
          <w:b/>
          <w:sz w:val="22"/>
          <w:szCs w:val="22"/>
        </w:rPr>
        <w:t>/</w:t>
      </w:r>
      <w:r w:rsidRPr="00443DB1">
        <w:rPr>
          <w:sz w:val="22"/>
          <w:szCs w:val="22"/>
        </w:rPr>
        <w:t xml:space="preserve"> </w:t>
      </w:r>
      <w:r w:rsidRPr="00443DB1">
        <w:rPr>
          <w:b/>
          <w:sz w:val="22"/>
          <w:szCs w:val="22"/>
        </w:rPr>
        <w:t>m</w:t>
      </w:r>
      <w:r w:rsidRPr="00443DB1">
        <w:rPr>
          <w:b/>
          <w:sz w:val="22"/>
          <w:szCs w:val="22"/>
          <w:vertAlign w:val="subscript"/>
        </w:rPr>
        <w:t>0</w:t>
      </w:r>
      <w:r w:rsidRPr="00443DB1">
        <w:rPr>
          <w:b/>
          <w:sz w:val="22"/>
          <w:szCs w:val="22"/>
        </w:rPr>
        <w:t xml:space="preserve"> . 100 = </w:t>
      </w:r>
      <w:r w:rsidRPr="00443DB1">
        <w:rPr>
          <w:sz w:val="22"/>
          <w:szCs w:val="22"/>
        </w:rPr>
        <w:tab/>
      </w:r>
      <w:r w:rsidRPr="00443DB1">
        <w:rPr>
          <w:b/>
          <w:sz w:val="22"/>
          <w:szCs w:val="22"/>
        </w:rPr>
        <w:t>m</w:t>
      </w:r>
      <w:r w:rsidRPr="00443DB1">
        <w:rPr>
          <w:sz w:val="22"/>
          <w:szCs w:val="22"/>
        </w:rPr>
        <w:t xml:space="preserve"> </w:t>
      </w:r>
      <w:r w:rsidRPr="00443DB1">
        <w:rPr>
          <w:b/>
          <w:sz w:val="22"/>
          <w:szCs w:val="22"/>
        </w:rPr>
        <w:t>/ 10</w:t>
      </w:r>
      <w:r w:rsidR="00547D52">
        <w:rPr>
          <w:sz w:val="22"/>
          <w:szCs w:val="22"/>
        </w:rPr>
        <w:tab/>
      </w:r>
    </w:p>
    <w:p w14:paraId="6F9D0658" w14:textId="77777777" w:rsidR="00686E9B" w:rsidRDefault="00686E9B" w:rsidP="00443DB1">
      <w:pPr>
        <w:spacing w:line="360" w:lineRule="auto"/>
        <w:jc w:val="both"/>
        <w:rPr>
          <w:sz w:val="22"/>
          <w:szCs w:val="22"/>
        </w:rPr>
      </w:pPr>
    </w:p>
    <w:p w14:paraId="6148C844" w14:textId="23712C20" w:rsidR="00443DB1" w:rsidRPr="00443DB1" w:rsidRDefault="00443DB1" w:rsidP="00443DB1">
      <w:pPr>
        <w:spacing w:line="360" w:lineRule="auto"/>
        <w:jc w:val="both"/>
        <w:rPr>
          <w:sz w:val="22"/>
          <w:szCs w:val="22"/>
        </w:rPr>
      </w:pPr>
      <w:r w:rsidRPr="00443DB1">
        <w:rPr>
          <w:sz w:val="22"/>
          <w:szCs w:val="22"/>
        </w:rPr>
        <w:t>Zkoušce vyhoví takový vzorek</w:t>
      </w:r>
      <w:r w:rsidR="00686E9B">
        <w:rPr>
          <w:sz w:val="22"/>
          <w:szCs w:val="22"/>
        </w:rPr>
        <w:t xml:space="preserve"> posypové soli</w:t>
      </w:r>
      <w:r w:rsidRPr="00443DB1">
        <w:rPr>
          <w:sz w:val="22"/>
          <w:szCs w:val="22"/>
        </w:rPr>
        <w:t>, který bude obsahovat dle výše uvedeného postupu méně jak 0,6 hm.% nerozpuštěných látek. V případě výsledku v intervalu 0,5 – 0,7 hm.% se provádí ještě jedno stanovení a hodnotí se dle výše uvedeného průměr obou stanovení.</w:t>
      </w:r>
    </w:p>
    <w:p w14:paraId="6E59357A" w14:textId="34142736" w:rsidR="00A506CD" w:rsidRDefault="00A506CD" w:rsidP="00A506CD">
      <w:pPr>
        <w:pStyle w:val="Zkladntext20"/>
        <w:shd w:val="clear" w:color="auto" w:fill="auto"/>
        <w:rPr>
          <w:rFonts w:ascii="Segoe UI" w:hAnsi="Segoe UI" w:cs="Segoe UI"/>
          <w:sz w:val="22"/>
          <w:szCs w:val="22"/>
        </w:rPr>
      </w:pPr>
    </w:p>
    <w:p w14:paraId="043123A7" w14:textId="77777777" w:rsidR="00443DB1" w:rsidRDefault="00443DB1" w:rsidP="00A506CD">
      <w:pPr>
        <w:pStyle w:val="Zkladntext20"/>
        <w:shd w:val="clear" w:color="auto" w:fill="auto"/>
        <w:rPr>
          <w:rFonts w:ascii="Segoe UI" w:hAnsi="Segoe UI" w:cs="Segoe UI"/>
          <w:sz w:val="22"/>
          <w:szCs w:val="22"/>
        </w:rPr>
      </w:pPr>
    </w:p>
    <w:p w14:paraId="22E427AD" w14:textId="77777777" w:rsidR="00A506CD" w:rsidRPr="00A506CD" w:rsidRDefault="00A506CD" w:rsidP="00A506CD">
      <w:pPr>
        <w:pStyle w:val="Zkladntext20"/>
        <w:shd w:val="clear" w:color="auto" w:fill="auto"/>
        <w:rPr>
          <w:rFonts w:ascii="Segoe UI" w:hAnsi="Segoe UI" w:cs="Segoe UI"/>
          <w:sz w:val="22"/>
          <w:szCs w:val="22"/>
        </w:rPr>
      </w:pPr>
    </w:p>
    <w:sectPr w:rsidR="00A506CD" w:rsidRPr="00A506C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0D464" w14:textId="77777777" w:rsidR="001B23A8" w:rsidRDefault="001B23A8" w:rsidP="00D2254C">
      <w:r>
        <w:separator/>
      </w:r>
    </w:p>
  </w:endnote>
  <w:endnote w:type="continuationSeparator" w:id="0">
    <w:p w14:paraId="66BF9FB6" w14:textId="77777777" w:rsidR="001B23A8" w:rsidRDefault="001B23A8" w:rsidP="00D2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D2AB4" w14:textId="77777777" w:rsidR="001B23A8" w:rsidRDefault="001B23A8" w:rsidP="00D2254C">
      <w:r>
        <w:separator/>
      </w:r>
    </w:p>
  </w:footnote>
  <w:footnote w:type="continuationSeparator" w:id="0">
    <w:p w14:paraId="1F4CE47D" w14:textId="77777777" w:rsidR="001B23A8" w:rsidRDefault="001B23A8" w:rsidP="00D22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17CDD" w14:textId="3B553FC7" w:rsidR="00D2254C" w:rsidRPr="00365DA3" w:rsidRDefault="00D2254C" w:rsidP="00D2254C">
    <w:pPr>
      <w:pStyle w:val="Zhlav1"/>
      <w:jc w:val="right"/>
      <w:rPr>
        <w:rFonts w:ascii="Arial" w:hAnsi="Arial" w:cs="Arial"/>
        <w:sz w:val="22"/>
        <w:szCs w:val="22"/>
      </w:rPr>
    </w:pPr>
    <w:r w:rsidRPr="00365DA3">
      <w:rPr>
        <w:rFonts w:ascii="Arial" w:hAnsi="Arial" w:cs="Arial"/>
        <w:sz w:val="22"/>
        <w:szCs w:val="22"/>
      </w:rPr>
      <w:t>Příloha č.</w:t>
    </w:r>
    <w:r>
      <w:rPr>
        <w:rFonts w:ascii="Arial" w:hAnsi="Arial" w:cs="Arial"/>
        <w:sz w:val="22"/>
        <w:szCs w:val="22"/>
      </w:rPr>
      <w:t xml:space="preserve"> 4</w:t>
    </w:r>
    <w:r w:rsidR="006835AA">
      <w:rPr>
        <w:rFonts w:ascii="Arial" w:hAnsi="Arial" w:cs="Arial"/>
        <w:sz w:val="22"/>
        <w:szCs w:val="22"/>
      </w:rPr>
      <w:t xml:space="preserve"> ZD</w:t>
    </w:r>
  </w:p>
  <w:p w14:paraId="1EF9BB69" w14:textId="77777777" w:rsidR="00D2254C" w:rsidRDefault="00D2254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6754F"/>
    <w:multiLevelType w:val="hybridMultilevel"/>
    <w:tmpl w:val="5792F4A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19F4A66"/>
    <w:multiLevelType w:val="multilevel"/>
    <w:tmpl w:val="23887EB4"/>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D"/>
    <w:rsid w:val="00101421"/>
    <w:rsid w:val="001B23A8"/>
    <w:rsid w:val="003A0CF6"/>
    <w:rsid w:val="00443DB1"/>
    <w:rsid w:val="00453D68"/>
    <w:rsid w:val="00547D52"/>
    <w:rsid w:val="006835AA"/>
    <w:rsid w:val="00686E9B"/>
    <w:rsid w:val="007658D4"/>
    <w:rsid w:val="00831661"/>
    <w:rsid w:val="00A506CD"/>
    <w:rsid w:val="00B813C6"/>
    <w:rsid w:val="00D2254C"/>
    <w:rsid w:val="00DB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479338"/>
  <w15:chartTrackingRefBased/>
  <w15:docId w15:val="{07A2913E-620D-405F-A179-4AE04A97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06CD"/>
    <w:pPr>
      <w:widowControl w:val="0"/>
      <w:spacing w:after="0" w:line="240" w:lineRule="auto"/>
    </w:pPr>
    <w:rPr>
      <w:rFonts w:ascii="Microsoft Sans Serif" w:eastAsia="Microsoft Sans Serif" w:hAnsi="Microsoft Sans Serif" w:cs="Microsoft Sans Serif"/>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sid w:val="00A506CD"/>
    <w:rPr>
      <w:rFonts w:ascii="Times New Roman" w:eastAsia="Times New Roman" w:hAnsi="Times New Roman" w:cs="Times New Roman"/>
      <w:shd w:val="clear" w:color="auto" w:fill="FFFFFF"/>
    </w:rPr>
  </w:style>
  <w:style w:type="character" w:customStyle="1" w:styleId="Zkladntext2">
    <w:name w:val="Základní text (2)_"/>
    <w:basedOn w:val="Standardnpsmoodstavce"/>
    <w:link w:val="Zkladntext20"/>
    <w:rsid w:val="00A506CD"/>
    <w:rPr>
      <w:rFonts w:ascii="Times New Roman" w:eastAsia="Times New Roman" w:hAnsi="Times New Roman" w:cs="Times New Roman"/>
      <w:b/>
      <w:bCs/>
      <w:sz w:val="18"/>
      <w:szCs w:val="18"/>
      <w:shd w:val="clear" w:color="auto" w:fill="FFFFFF"/>
    </w:rPr>
  </w:style>
  <w:style w:type="paragraph" w:customStyle="1" w:styleId="Zkladntext1">
    <w:name w:val="Základní text1"/>
    <w:basedOn w:val="Normln"/>
    <w:link w:val="Zkladntext"/>
    <w:rsid w:val="00A506CD"/>
    <w:pPr>
      <w:shd w:val="clear" w:color="auto" w:fill="FFFFFF"/>
      <w:spacing w:after="100" w:line="252" w:lineRule="auto"/>
      <w:jc w:val="both"/>
    </w:pPr>
    <w:rPr>
      <w:rFonts w:ascii="Times New Roman" w:eastAsia="Times New Roman" w:hAnsi="Times New Roman" w:cs="Times New Roman"/>
      <w:color w:val="auto"/>
      <w:sz w:val="22"/>
      <w:szCs w:val="22"/>
      <w:lang w:eastAsia="en-US" w:bidi="ar-SA"/>
    </w:rPr>
  </w:style>
  <w:style w:type="paragraph" w:customStyle="1" w:styleId="Zkladntext20">
    <w:name w:val="Základní text (2)"/>
    <w:basedOn w:val="Normln"/>
    <w:link w:val="Zkladntext2"/>
    <w:rsid w:val="00A506CD"/>
    <w:pPr>
      <w:shd w:val="clear" w:color="auto" w:fill="FFFFFF"/>
      <w:spacing w:after="120"/>
      <w:jc w:val="both"/>
    </w:pPr>
    <w:rPr>
      <w:rFonts w:ascii="Times New Roman" w:eastAsia="Times New Roman" w:hAnsi="Times New Roman" w:cs="Times New Roman"/>
      <w:b/>
      <w:bCs/>
      <w:color w:val="auto"/>
      <w:sz w:val="18"/>
      <w:szCs w:val="18"/>
      <w:lang w:eastAsia="en-US" w:bidi="ar-SA"/>
    </w:rPr>
  </w:style>
  <w:style w:type="paragraph" w:styleId="Zhlav">
    <w:name w:val="header"/>
    <w:basedOn w:val="Normln"/>
    <w:link w:val="ZhlavChar"/>
    <w:uiPriority w:val="99"/>
    <w:unhideWhenUsed/>
    <w:rsid w:val="00D2254C"/>
    <w:pPr>
      <w:tabs>
        <w:tab w:val="center" w:pos="4536"/>
        <w:tab w:val="right" w:pos="9072"/>
      </w:tabs>
    </w:pPr>
  </w:style>
  <w:style w:type="character" w:customStyle="1" w:styleId="ZhlavChar">
    <w:name w:val="Záhlaví Char"/>
    <w:basedOn w:val="Standardnpsmoodstavce"/>
    <w:link w:val="Zhlav"/>
    <w:uiPriority w:val="99"/>
    <w:rsid w:val="00D2254C"/>
    <w:rPr>
      <w:rFonts w:ascii="Microsoft Sans Serif" w:eastAsia="Microsoft Sans Serif" w:hAnsi="Microsoft Sans Serif" w:cs="Microsoft Sans Serif"/>
      <w:color w:val="000000"/>
      <w:sz w:val="24"/>
      <w:szCs w:val="24"/>
      <w:lang w:eastAsia="cs-CZ" w:bidi="cs-CZ"/>
    </w:rPr>
  </w:style>
  <w:style w:type="paragraph" w:styleId="Zpat">
    <w:name w:val="footer"/>
    <w:basedOn w:val="Normln"/>
    <w:link w:val="ZpatChar"/>
    <w:uiPriority w:val="99"/>
    <w:unhideWhenUsed/>
    <w:rsid w:val="00D2254C"/>
    <w:pPr>
      <w:tabs>
        <w:tab w:val="center" w:pos="4536"/>
        <w:tab w:val="right" w:pos="9072"/>
      </w:tabs>
    </w:pPr>
  </w:style>
  <w:style w:type="character" w:customStyle="1" w:styleId="ZpatChar">
    <w:name w:val="Zápatí Char"/>
    <w:basedOn w:val="Standardnpsmoodstavce"/>
    <w:link w:val="Zpat"/>
    <w:uiPriority w:val="99"/>
    <w:rsid w:val="00D2254C"/>
    <w:rPr>
      <w:rFonts w:ascii="Microsoft Sans Serif" w:eastAsia="Microsoft Sans Serif" w:hAnsi="Microsoft Sans Serif" w:cs="Microsoft Sans Serif"/>
      <w:color w:val="000000"/>
      <w:sz w:val="24"/>
      <w:szCs w:val="24"/>
      <w:lang w:eastAsia="cs-CZ" w:bidi="cs-CZ"/>
    </w:rPr>
  </w:style>
  <w:style w:type="paragraph" w:customStyle="1" w:styleId="Zhlav1">
    <w:name w:val="Záhlaví1"/>
    <w:basedOn w:val="Normln"/>
    <w:rsid w:val="00D2254C"/>
    <w:pPr>
      <w:tabs>
        <w:tab w:val="center" w:pos="4536"/>
        <w:tab w:val="right" w:pos="9072"/>
      </w:tabs>
      <w:suppressAutoHyphens/>
    </w:pPr>
    <w:rPr>
      <w:rFonts w:ascii="Times New Roman" w:eastAsia="Times New Roman" w:hAnsi="Times New Roman" w:cs="Times New Roman"/>
      <w:color w:val="auto"/>
      <w:kern w:val="1"/>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1330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Cvrkal</dc:creator>
  <cp:keywords/>
  <dc:description/>
  <cp:lastModifiedBy>Kamila Filípková</cp:lastModifiedBy>
  <cp:revision>2</cp:revision>
  <dcterms:created xsi:type="dcterms:W3CDTF">2022-09-16T08:32:00Z</dcterms:created>
  <dcterms:modified xsi:type="dcterms:W3CDTF">2022-09-16T08:32:00Z</dcterms:modified>
</cp:coreProperties>
</file>