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0732A" w14:textId="34040D0A" w:rsidR="00D54F9D" w:rsidRPr="00DE3E62" w:rsidRDefault="00D54F9D" w:rsidP="00D54F9D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 xml:space="preserve">PŘÍLOHA </w:t>
      </w:r>
      <w:r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2</w:t>
      </w: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)</w:t>
      </w:r>
    </w:p>
    <w:p w14:paraId="64AEE61A" w14:textId="77777777" w:rsidR="00D54F9D" w:rsidRPr="00DE3E62" w:rsidRDefault="00D54F9D" w:rsidP="00D54F9D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24BE571A" w14:textId="77777777" w:rsidR="00D54F9D" w:rsidRDefault="00D54F9D" w:rsidP="00D54F9D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</w:p>
    <w:p w14:paraId="32CD4FDE" w14:textId="306A0C03" w:rsidR="00D54F9D" w:rsidRDefault="00D54F9D" w:rsidP="00D54F9D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  <w:r w:rsidRPr="00D54F9D"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  <w:t>Personál, vybavení a zázemí, dokumentace a služby třetích osob poskytované Objednatelem</w:t>
      </w:r>
    </w:p>
    <w:p w14:paraId="29167386" w14:textId="77777777" w:rsidR="00D54F9D" w:rsidRPr="00DE3E62" w:rsidRDefault="00D54F9D" w:rsidP="00D54F9D">
      <w:pPr>
        <w:shd w:val="clear" w:color="auto" w:fill="F79646"/>
        <w:suppressAutoHyphens/>
        <w:spacing w:after="0" w:line="240" w:lineRule="auto"/>
        <w:jc w:val="center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097DD098" w14:textId="77777777" w:rsidR="00D54F9D" w:rsidRPr="00492601" w:rsidRDefault="00D54F9D" w:rsidP="00D54F9D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lang w:eastAsia="cs-CZ"/>
        </w:rPr>
      </w:pPr>
      <w:r w:rsidRPr="001D56DF">
        <w:rPr>
          <w:rFonts w:ascii="Book Antiqua" w:eastAsia="Book Antiqua" w:hAnsi="Book Antiqua" w:cs="Book Antiqua"/>
          <w:b/>
          <w:bCs/>
          <w:lang w:eastAsia="cs-CZ"/>
        </w:rPr>
        <w:t> </w:t>
      </w:r>
    </w:p>
    <w:p w14:paraId="2CDB196C" w14:textId="672BB037" w:rsidR="0071464F" w:rsidRPr="00D54F9D" w:rsidRDefault="0071464F" w:rsidP="00D54F9D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D54F9D">
        <w:rPr>
          <w:rFonts w:ascii="Book Antiqua" w:eastAsia="Times New Roman" w:hAnsi="Book Antiqua" w:cs="Arial"/>
          <w:lang w:eastAsia="cs-CZ"/>
        </w:rPr>
        <w:t>V souladu s Pod-článkem</w:t>
      </w:r>
      <w:r w:rsidR="00E62505" w:rsidRPr="00D54F9D">
        <w:rPr>
          <w:rFonts w:ascii="Book Antiqua" w:eastAsia="Times New Roman" w:hAnsi="Book Antiqua" w:cs="Arial"/>
          <w:lang w:eastAsia="cs-CZ"/>
        </w:rPr>
        <w:t xml:space="preserve"> </w:t>
      </w:r>
      <w:r w:rsidRPr="00D54F9D">
        <w:rPr>
          <w:rFonts w:ascii="Book Antiqua" w:eastAsia="Times New Roman" w:hAnsi="Book Antiqua" w:cs="Arial"/>
          <w:lang w:eastAsia="cs-CZ"/>
        </w:rPr>
        <w:t xml:space="preserve">2.5 </w:t>
      </w:r>
      <w:r w:rsidR="00DB13C0" w:rsidRPr="00D54F9D">
        <w:rPr>
          <w:rFonts w:ascii="Book Antiqua" w:eastAsia="Times New Roman" w:hAnsi="Book Antiqua" w:cs="Arial"/>
          <w:lang w:eastAsia="cs-CZ"/>
        </w:rPr>
        <w:t>Smluvních podmínek</w:t>
      </w:r>
      <w:r w:rsidRPr="00D54F9D">
        <w:rPr>
          <w:rFonts w:ascii="Book Antiqua" w:eastAsia="Times New Roman" w:hAnsi="Book Antiqua" w:cs="Arial"/>
          <w:lang w:eastAsia="cs-CZ"/>
        </w:rPr>
        <w:t xml:space="preserve"> Objednatel Konzultantovi neposkytuje žádné vybavení ani zázemí, či personál. Náklady na zajištění osob a věcí potřebných pro poskytování Služeb zahrnuty do </w:t>
      </w:r>
      <w:r w:rsidR="00C47DF0" w:rsidRPr="00D54F9D">
        <w:rPr>
          <w:rFonts w:ascii="Book Antiqua" w:eastAsia="Times New Roman" w:hAnsi="Book Antiqua" w:cs="Arial"/>
          <w:lang w:eastAsia="cs-CZ"/>
        </w:rPr>
        <w:t>Ceny služeb</w:t>
      </w:r>
      <w:r w:rsidRPr="00D54F9D">
        <w:rPr>
          <w:rFonts w:ascii="Book Antiqua" w:eastAsia="Times New Roman" w:hAnsi="Book Antiqua" w:cs="Arial"/>
          <w:lang w:eastAsia="cs-CZ"/>
        </w:rPr>
        <w:t xml:space="preserve"> nabídnuté Konzultantem v rámci </w:t>
      </w:r>
      <w:r w:rsidR="00B16D24" w:rsidRPr="00D54F9D">
        <w:rPr>
          <w:rFonts w:ascii="Book Antiqua" w:eastAsia="Times New Roman" w:hAnsi="Book Antiqua" w:cs="Arial"/>
          <w:lang w:eastAsia="cs-CZ"/>
        </w:rPr>
        <w:t>nabídky</w:t>
      </w:r>
      <w:r w:rsidRPr="00D54F9D">
        <w:rPr>
          <w:rFonts w:ascii="Book Antiqua" w:eastAsia="Times New Roman" w:hAnsi="Book Antiqua" w:cs="Arial"/>
          <w:lang w:eastAsia="cs-CZ"/>
        </w:rPr>
        <w:t>. Objednatel poskytl nebo poskytne Konzultantovi bezplatně před zahájením poskytování Služeb, případně během poskytování Služeb, níže uvedenou dokumentaci.</w:t>
      </w:r>
    </w:p>
    <w:p w14:paraId="6C6AFF80" w14:textId="77777777" w:rsidR="00795289" w:rsidRDefault="00795289" w:rsidP="0071464F">
      <w:pPr>
        <w:jc w:val="both"/>
      </w:pPr>
    </w:p>
    <w:p w14:paraId="5FD8C556" w14:textId="77777777" w:rsidR="0071464F" w:rsidRPr="001916A4" w:rsidRDefault="0071464F" w:rsidP="00D54F9D">
      <w:pPr>
        <w:pStyle w:val="Odstavecseseznamem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b/>
          <w:bCs/>
          <w:lang w:eastAsia="cs-CZ"/>
        </w:rPr>
      </w:pPr>
      <w:r w:rsidRPr="001916A4">
        <w:rPr>
          <w:rFonts w:ascii="Book Antiqua" w:eastAsia="Times New Roman" w:hAnsi="Book Antiqua" w:cs="Arial"/>
          <w:b/>
          <w:bCs/>
          <w:lang w:eastAsia="cs-CZ"/>
        </w:rPr>
        <w:t>Personál</w:t>
      </w:r>
    </w:p>
    <w:p w14:paraId="2B4621BB" w14:textId="77777777" w:rsidR="006B31A0" w:rsidRPr="00D54F9D" w:rsidRDefault="006B31A0" w:rsidP="006B31A0">
      <w:pPr>
        <w:pStyle w:val="Odstavecseseznamem"/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</w:p>
    <w:p w14:paraId="1A176D8E" w14:textId="77777777" w:rsidR="0071464F" w:rsidRPr="00D54F9D" w:rsidRDefault="0071464F" w:rsidP="00D54F9D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D54F9D">
        <w:rPr>
          <w:rFonts w:ascii="Book Antiqua" w:eastAsia="Times New Roman" w:hAnsi="Book Antiqua" w:cs="Arial"/>
          <w:lang w:eastAsia="cs-CZ"/>
        </w:rPr>
        <w:t>Objednatel neposkytne Konzultantovi žádný personál.</w:t>
      </w:r>
    </w:p>
    <w:p w14:paraId="0FD296FD" w14:textId="77777777" w:rsidR="00795289" w:rsidRDefault="00795289" w:rsidP="0071464F">
      <w:pPr>
        <w:jc w:val="both"/>
      </w:pPr>
    </w:p>
    <w:p w14:paraId="1CF71671" w14:textId="77777777" w:rsidR="0071464F" w:rsidRPr="001916A4" w:rsidRDefault="0071464F" w:rsidP="00D54F9D">
      <w:pPr>
        <w:pStyle w:val="Odstavecseseznamem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b/>
          <w:bCs/>
          <w:lang w:eastAsia="cs-CZ"/>
        </w:rPr>
      </w:pPr>
      <w:r w:rsidRPr="001916A4">
        <w:rPr>
          <w:rFonts w:ascii="Book Antiqua" w:eastAsia="Times New Roman" w:hAnsi="Book Antiqua" w:cs="Arial"/>
          <w:b/>
          <w:bCs/>
          <w:lang w:eastAsia="cs-CZ"/>
        </w:rPr>
        <w:t>Vybavení a zázemí</w:t>
      </w:r>
    </w:p>
    <w:p w14:paraId="66BBC9EE" w14:textId="77777777" w:rsidR="006B31A0" w:rsidRPr="006B31A0" w:rsidRDefault="006B31A0" w:rsidP="006B31A0">
      <w:pPr>
        <w:pStyle w:val="Odstavecseseznamem"/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</w:p>
    <w:p w14:paraId="4E24BF2C" w14:textId="77777777" w:rsidR="0071464F" w:rsidRPr="006B31A0" w:rsidRDefault="0071464F" w:rsidP="006B31A0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6B31A0">
        <w:rPr>
          <w:rFonts w:ascii="Book Antiqua" w:eastAsia="Times New Roman" w:hAnsi="Book Antiqua" w:cs="Arial"/>
          <w:lang w:eastAsia="cs-CZ"/>
        </w:rPr>
        <w:t>Objednatel neposkytne Konzultantovi pro poskytování Služeb žádné vybavení a zázemí.</w:t>
      </w:r>
    </w:p>
    <w:p w14:paraId="72C6D7D1" w14:textId="77777777" w:rsidR="00795289" w:rsidRPr="006B31A0" w:rsidRDefault="00795289" w:rsidP="006B31A0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</w:p>
    <w:p w14:paraId="51526F27" w14:textId="77777777" w:rsidR="0071464F" w:rsidRPr="001916A4" w:rsidRDefault="0071464F" w:rsidP="00D54F9D">
      <w:pPr>
        <w:pStyle w:val="Odstavecseseznamem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b/>
          <w:bCs/>
          <w:lang w:eastAsia="cs-CZ"/>
        </w:rPr>
      </w:pPr>
      <w:r w:rsidRPr="001916A4">
        <w:rPr>
          <w:rFonts w:ascii="Book Antiqua" w:eastAsia="Times New Roman" w:hAnsi="Book Antiqua" w:cs="Arial"/>
          <w:b/>
          <w:bCs/>
          <w:lang w:eastAsia="cs-CZ"/>
        </w:rPr>
        <w:t>Dokumentace</w:t>
      </w:r>
    </w:p>
    <w:p w14:paraId="77FFE8C6" w14:textId="77777777" w:rsidR="006B31A0" w:rsidRPr="006B31A0" w:rsidRDefault="006B31A0" w:rsidP="006B31A0">
      <w:pPr>
        <w:pStyle w:val="Odstavecseseznamem"/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</w:p>
    <w:p w14:paraId="365F944F" w14:textId="0ACD78F9" w:rsidR="00795289" w:rsidRDefault="0071464F" w:rsidP="00C47DF0">
      <w:pPr>
        <w:jc w:val="both"/>
      </w:pPr>
      <w:r w:rsidRPr="006B31A0">
        <w:rPr>
          <w:rFonts w:ascii="Book Antiqua" w:eastAsia="Times New Roman" w:hAnsi="Book Antiqua" w:cs="Arial"/>
          <w:lang w:eastAsia="cs-CZ"/>
        </w:rPr>
        <w:t>Objednatel poskytl nebo poskytne Konzultantovi před zahájením poskytování Služeb, případně během poskytování</w:t>
      </w:r>
      <w:r w:rsidRPr="00D15694">
        <w:rPr>
          <w:rFonts w:ascii="Book Antiqua" w:eastAsia="Times New Roman" w:hAnsi="Book Antiqua" w:cs="Arial"/>
          <w:lang w:eastAsia="cs-CZ"/>
        </w:rPr>
        <w:t xml:space="preserve"> Služeb, následující </w:t>
      </w:r>
      <w:r w:rsidR="00440C06" w:rsidRPr="00D15694">
        <w:rPr>
          <w:rFonts w:ascii="Book Antiqua" w:eastAsia="Times New Roman" w:hAnsi="Book Antiqua" w:cs="Arial"/>
          <w:lang w:eastAsia="cs-CZ"/>
        </w:rPr>
        <w:t>podkladovou</w:t>
      </w:r>
      <w:r w:rsidR="00C47DF0" w:rsidRPr="00D15694">
        <w:rPr>
          <w:rFonts w:ascii="Book Antiqua" w:eastAsia="Times New Roman" w:hAnsi="Book Antiqua" w:cs="Arial"/>
          <w:lang w:eastAsia="cs-CZ"/>
        </w:rPr>
        <w:t xml:space="preserve"> </w:t>
      </w:r>
      <w:r w:rsidRPr="00D15694">
        <w:rPr>
          <w:rFonts w:ascii="Book Antiqua" w:eastAsia="Times New Roman" w:hAnsi="Book Antiqua" w:cs="Arial"/>
          <w:lang w:eastAsia="cs-CZ"/>
        </w:rPr>
        <w:t>dokumentaci</w:t>
      </w:r>
      <w:r w:rsidR="00440C06" w:rsidRPr="00D15694">
        <w:rPr>
          <w:rFonts w:ascii="Book Antiqua" w:eastAsia="Times New Roman" w:hAnsi="Book Antiqua" w:cs="Arial"/>
          <w:lang w:eastAsia="cs-CZ"/>
        </w:rPr>
        <w:t xml:space="preserve">, uvedenou v příloze </w:t>
      </w:r>
      <w:r w:rsidR="008F5733">
        <w:rPr>
          <w:rFonts w:ascii="Book Antiqua" w:eastAsia="Times New Roman" w:hAnsi="Book Antiqua" w:cs="Arial"/>
          <w:lang w:eastAsia="cs-CZ"/>
        </w:rPr>
        <w:t>d</w:t>
      </w:r>
      <w:r w:rsidR="00D15694" w:rsidRPr="00D15694">
        <w:rPr>
          <w:rFonts w:ascii="Book Antiqua" w:eastAsia="Times New Roman" w:hAnsi="Book Antiqua" w:cs="Arial"/>
          <w:lang w:eastAsia="cs-CZ"/>
        </w:rPr>
        <w:t>) Podkladová dokumentace</w:t>
      </w:r>
      <w:r w:rsidRPr="00D15694">
        <w:rPr>
          <w:rFonts w:ascii="Book Antiqua" w:eastAsia="Times New Roman" w:hAnsi="Book Antiqua" w:cs="Arial"/>
          <w:lang w:eastAsia="cs-CZ"/>
        </w:rPr>
        <w:t>:</w:t>
      </w:r>
    </w:p>
    <w:p w14:paraId="3F14F6CF" w14:textId="11EBBA39" w:rsidR="00C47DF0" w:rsidRPr="00D15694" w:rsidRDefault="00C47DF0" w:rsidP="00C47DF0">
      <w:pPr>
        <w:pStyle w:val="Odstavecseseznamem"/>
        <w:numPr>
          <w:ilvl w:val="0"/>
          <w:numId w:val="5"/>
        </w:numPr>
        <w:jc w:val="both"/>
        <w:rPr>
          <w:rFonts w:ascii="Book Antiqua" w:hAnsi="Book Antiqua"/>
        </w:rPr>
      </w:pPr>
      <w:r w:rsidRPr="00D15694">
        <w:rPr>
          <w:rFonts w:ascii="Book Antiqua" w:hAnsi="Book Antiqua"/>
        </w:rPr>
        <w:t>Zpráva o přítomnosti archeologických situací</w:t>
      </w:r>
      <w:r w:rsidR="00D15694">
        <w:rPr>
          <w:rFonts w:ascii="Book Antiqua" w:hAnsi="Book Antiqua"/>
        </w:rPr>
        <w:t>;</w:t>
      </w:r>
    </w:p>
    <w:p w14:paraId="39DE949D" w14:textId="67DDB7A2" w:rsidR="00C47DF0" w:rsidRPr="00D15694" w:rsidRDefault="00C47DF0" w:rsidP="00C47DF0">
      <w:pPr>
        <w:pStyle w:val="Odstavecseseznamem"/>
        <w:numPr>
          <w:ilvl w:val="0"/>
          <w:numId w:val="5"/>
        </w:numPr>
        <w:jc w:val="both"/>
        <w:rPr>
          <w:rFonts w:ascii="Book Antiqua" w:hAnsi="Book Antiqua"/>
        </w:rPr>
      </w:pPr>
      <w:r w:rsidRPr="00D15694">
        <w:rPr>
          <w:rFonts w:ascii="Book Antiqua" w:hAnsi="Book Antiqua"/>
        </w:rPr>
        <w:t>Mapové podklady;</w:t>
      </w:r>
    </w:p>
    <w:p w14:paraId="31B3D03A" w14:textId="4203966B" w:rsidR="00C47DF0" w:rsidRPr="00D15694" w:rsidRDefault="00C47DF0" w:rsidP="00C47DF0">
      <w:pPr>
        <w:pStyle w:val="Odstavecseseznamem"/>
        <w:numPr>
          <w:ilvl w:val="0"/>
          <w:numId w:val="5"/>
        </w:numPr>
        <w:jc w:val="both"/>
        <w:rPr>
          <w:rFonts w:ascii="Book Antiqua" w:hAnsi="Book Antiqua"/>
        </w:rPr>
      </w:pPr>
      <w:r w:rsidRPr="00D15694">
        <w:rPr>
          <w:rFonts w:ascii="Book Antiqua" w:hAnsi="Book Antiqua"/>
        </w:rPr>
        <w:t>Parametry předávaných movitých archeologických nálezů a dokumentace;</w:t>
      </w:r>
    </w:p>
    <w:p w14:paraId="7C0B0839" w14:textId="241FA803" w:rsidR="00C47DF0" w:rsidRPr="00D15694" w:rsidRDefault="00C47DF0" w:rsidP="00C47DF0">
      <w:pPr>
        <w:pStyle w:val="Odstavecseseznamem"/>
        <w:numPr>
          <w:ilvl w:val="0"/>
          <w:numId w:val="5"/>
        </w:numPr>
        <w:jc w:val="both"/>
        <w:rPr>
          <w:rFonts w:ascii="Book Antiqua" w:hAnsi="Book Antiqua"/>
        </w:rPr>
      </w:pPr>
      <w:r w:rsidRPr="00D15694">
        <w:rPr>
          <w:rFonts w:ascii="Book Antiqua" w:hAnsi="Book Antiqua"/>
        </w:rPr>
        <w:t>Pravidla archeologického výzkumu.</w:t>
      </w:r>
    </w:p>
    <w:p w14:paraId="3CBE0067" w14:textId="77777777" w:rsidR="00C47DF0" w:rsidRDefault="00C47DF0" w:rsidP="00C47DF0">
      <w:pPr>
        <w:pStyle w:val="Odstavecseseznamem"/>
        <w:jc w:val="both"/>
      </w:pPr>
    </w:p>
    <w:p w14:paraId="0BC96601" w14:textId="77777777" w:rsidR="00795289" w:rsidRPr="001916A4" w:rsidRDefault="0071464F" w:rsidP="006B31A0">
      <w:pPr>
        <w:pStyle w:val="Odstavecseseznamem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b/>
          <w:bCs/>
          <w:lang w:eastAsia="cs-CZ"/>
        </w:rPr>
      </w:pPr>
      <w:r w:rsidRPr="001916A4">
        <w:rPr>
          <w:rFonts w:ascii="Book Antiqua" w:eastAsia="Times New Roman" w:hAnsi="Book Antiqua" w:cs="Arial"/>
          <w:b/>
          <w:bCs/>
          <w:lang w:eastAsia="cs-CZ"/>
        </w:rPr>
        <w:t xml:space="preserve">Služby třetích osob </w:t>
      </w:r>
    </w:p>
    <w:p w14:paraId="7B8387E4" w14:textId="77777777" w:rsidR="00D15694" w:rsidRPr="006B31A0" w:rsidRDefault="00D15694" w:rsidP="00D15694">
      <w:pPr>
        <w:pStyle w:val="Odstavecseseznamem"/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</w:p>
    <w:p w14:paraId="485AFCE5" w14:textId="6C1EB2C2" w:rsidR="001D756F" w:rsidRPr="00D15694" w:rsidRDefault="00795289" w:rsidP="00795289">
      <w:pPr>
        <w:jc w:val="both"/>
        <w:rPr>
          <w:rFonts w:ascii="Book Antiqua" w:eastAsia="Times New Roman" w:hAnsi="Book Antiqua" w:cs="Arial"/>
          <w:lang w:eastAsia="cs-CZ"/>
        </w:rPr>
      </w:pPr>
      <w:r w:rsidRPr="00D15694">
        <w:rPr>
          <w:rFonts w:ascii="Book Antiqua" w:eastAsia="Times New Roman" w:hAnsi="Book Antiqua" w:cs="Arial"/>
          <w:lang w:eastAsia="cs-CZ"/>
        </w:rPr>
        <w:t>Služby třetích osob</w:t>
      </w:r>
      <w:r w:rsidR="00BC2B7E" w:rsidRPr="00D15694">
        <w:rPr>
          <w:rFonts w:ascii="Book Antiqua" w:eastAsia="Times New Roman" w:hAnsi="Book Antiqua" w:cs="Arial"/>
          <w:lang w:eastAsia="cs-CZ"/>
        </w:rPr>
        <w:t xml:space="preserve"> budou Objednatelem případně upřesněny </w:t>
      </w:r>
      <w:r w:rsidR="00C47DF0" w:rsidRPr="00D15694">
        <w:rPr>
          <w:rFonts w:ascii="Book Antiqua" w:eastAsia="Times New Roman" w:hAnsi="Book Antiqua" w:cs="Arial"/>
          <w:lang w:eastAsia="cs-CZ"/>
        </w:rPr>
        <w:t>před započetím</w:t>
      </w:r>
      <w:r w:rsidR="00BC2B7E" w:rsidRPr="00D15694">
        <w:rPr>
          <w:rFonts w:ascii="Book Antiqua" w:eastAsia="Times New Roman" w:hAnsi="Book Antiqua" w:cs="Arial"/>
          <w:lang w:eastAsia="cs-CZ"/>
        </w:rPr>
        <w:t xml:space="preserve"> plnění Smlouvy.</w:t>
      </w:r>
    </w:p>
    <w:sectPr w:rsidR="001D756F" w:rsidRPr="00D1569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03C8B" w14:textId="77777777" w:rsidR="003D5D00" w:rsidRDefault="003D5D00" w:rsidP="003D5D00">
      <w:pPr>
        <w:spacing w:after="0" w:line="240" w:lineRule="auto"/>
      </w:pPr>
      <w:r>
        <w:separator/>
      </w:r>
    </w:p>
  </w:endnote>
  <w:endnote w:type="continuationSeparator" w:id="0">
    <w:p w14:paraId="08A086C5" w14:textId="77777777" w:rsidR="003D5D00" w:rsidRDefault="003D5D00" w:rsidP="003D5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17661" w14:textId="77777777" w:rsidR="003D5D00" w:rsidRDefault="003D5D00" w:rsidP="003D5D00">
      <w:pPr>
        <w:spacing w:after="0" w:line="240" w:lineRule="auto"/>
      </w:pPr>
      <w:r>
        <w:separator/>
      </w:r>
    </w:p>
  </w:footnote>
  <w:footnote w:type="continuationSeparator" w:id="0">
    <w:p w14:paraId="775A8569" w14:textId="77777777" w:rsidR="003D5D00" w:rsidRDefault="003D5D00" w:rsidP="003D5D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BD195" w14:textId="77777777" w:rsidR="007A7365" w:rsidRDefault="007A7365" w:rsidP="007A7365">
    <w:pPr>
      <w:pStyle w:val="Zhlav"/>
      <w:pBdr>
        <w:bottom w:val="single" w:sz="6" w:space="1" w:color="auto"/>
      </w:pBdr>
      <w:jc w:val="right"/>
    </w:pPr>
    <w:r>
      <w:rPr>
        <w:noProof/>
      </w:rPr>
      <w:drawing>
        <wp:inline distT="0" distB="0" distL="0" distR="0" wp14:anchorId="0AE4132E" wp14:editId="6AC07B37">
          <wp:extent cx="1274445" cy="731520"/>
          <wp:effectExtent l="0" t="0" r="190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rPr>
        <w:noProof/>
        <w:lang w:eastAsia="cs-CZ"/>
      </w:rPr>
      <w:t xml:space="preserve">                                                    </w:t>
    </w:r>
    <w:r>
      <w:rPr>
        <w:noProof/>
        <w:lang w:eastAsia="cs-CZ"/>
      </w:rPr>
      <w:drawing>
        <wp:inline distT="0" distB="0" distL="0" distR="0" wp14:anchorId="7543CCF6" wp14:editId="451AED5B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DC8029" w14:textId="77777777" w:rsidR="003D5D00" w:rsidRDefault="003D5D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83DCB"/>
    <w:multiLevelType w:val="hybridMultilevel"/>
    <w:tmpl w:val="C2943F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8049B"/>
    <w:multiLevelType w:val="hybridMultilevel"/>
    <w:tmpl w:val="D6F86E8E"/>
    <w:lvl w:ilvl="0" w:tplc="70A4DA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A24DAD"/>
    <w:multiLevelType w:val="hybridMultilevel"/>
    <w:tmpl w:val="709A21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772487"/>
    <w:multiLevelType w:val="hybridMultilevel"/>
    <w:tmpl w:val="1C4835E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8506AC"/>
    <w:multiLevelType w:val="hybridMultilevel"/>
    <w:tmpl w:val="5C441A1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A05CEB"/>
    <w:multiLevelType w:val="hybridMultilevel"/>
    <w:tmpl w:val="D0ACD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2290352">
    <w:abstractNumId w:val="1"/>
  </w:num>
  <w:num w:numId="2" w16cid:durableId="1315914868">
    <w:abstractNumId w:val="3"/>
  </w:num>
  <w:num w:numId="3" w16cid:durableId="228460204">
    <w:abstractNumId w:val="4"/>
  </w:num>
  <w:num w:numId="4" w16cid:durableId="494761001">
    <w:abstractNumId w:val="0"/>
  </w:num>
  <w:num w:numId="5" w16cid:durableId="650402064">
    <w:abstractNumId w:val="2"/>
  </w:num>
  <w:num w:numId="6" w16cid:durableId="129906660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64F"/>
    <w:rsid w:val="000365A6"/>
    <w:rsid w:val="001916A4"/>
    <w:rsid w:val="001D756F"/>
    <w:rsid w:val="003874D2"/>
    <w:rsid w:val="003D5D00"/>
    <w:rsid w:val="00440C06"/>
    <w:rsid w:val="006A38DF"/>
    <w:rsid w:val="006B31A0"/>
    <w:rsid w:val="0071464F"/>
    <w:rsid w:val="00795289"/>
    <w:rsid w:val="007A7365"/>
    <w:rsid w:val="00807079"/>
    <w:rsid w:val="008F5733"/>
    <w:rsid w:val="00B16D24"/>
    <w:rsid w:val="00BC2B7E"/>
    <w:rsid w:val="00C47DF0"/>
    <w:rsid w:val="00CB5BA4"/>
    <w:rsid w:val="00D15694"/>
    <w:rsid w:val="00D54F9D"/>
    <w:rsid w:val="00DB13C0"/>
    <w:rsid w:val="00E62505"/>
    <w:rsid w:val="00E91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49EA7"/>
  <w15:chartTrackingRefBased/>
  <w15:docId w15:val="{0D0F9FE8-B42C-4B7E-93C7-E52ECBABC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1464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070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7079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3D5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5D00"/>
  </w:style>
  <w:style w:type="paragraph" w:styleId="Zpat">
    <w:name w:val="footer"/>
    <w:basedOn w:val="Normln"/>
    <w:link w:val="ZpatChar"/>
    <w:uiPriority w:val="99"/>
    <w:unhideWhenUsed/>
    <w:rsid w:val="003D5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D5D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128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31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1793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27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4" ma:contentTypeDescription="Vytvoří nový dokument" ma:contentTypeScope="" ma:versionID="08bf69d0f21ee3c094b2d8d3dd350278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f7465094cdbbedec705ec572e191717b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ozn_x00e1_mka xmlns="1b0a2e31-377b-4a4f-8b74-191dd8e2e1a2" xsi:nil="true"/>
    <PromotedState xmlns="http://schemas.microsoft.com/sharepoint/v3">0</PromotedState>
    <lcf76f155ced4ddcb4097134ff3c332f xmlns="1b0a2e31-377b-4a4f-8b74-191dd8e2e1a2">
      <Terms xmlns="http://schemas.microsoft.com/office/infopath/2007/PartnerControls"/>
    </lcf76f155ced4ddcb4097134ff3c332f>
    <_Flow_SignoffStatus xmlns="1b0a2e31-377b-4a4f-8b74-191dd8e2e1a2" xsi:nil="true"/>
    <TaxCatchAll xmlns="1c5afdd9-10a7-4471-939e-3b6fefddb120" xsi:nil="true"/>
  </documentManagement>
</p:properties>
</file>

<file path=customXml/itemProps1.xml><?xml version="1.0" encoding="utf-8"?>
<ds:datastoreItem xmlns:ds="http://schemas.openxmlformats.org/officeDocument/2006/customXml" ds:itemID="{F218B1D0-9559-4939-A19C-D56A950404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9B191A-4386-41A7-ACD8-3CE443073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0067A0-05D6-41E7-A4A4-5A5F57CAC6A4}">
  <ds:schemaRefs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dcmitype/"/>
    <ds:schemaRef ds:uri="1b0a2e31-377b-4a4f-8b74-191dd8e2e1a2"/>
    <ds:schemaRef ds:uri="http://schemas.microsoft.com/office/2006/documentManagement/types"/>
    <ds:schemaRef ds:uri="http://schemas.microsoft.com/sharepoint/v3"/>
    <ds:schemaRef ds:uri="http://schemas.microsoft.com/office/infopath/2007/PartnerControls"/>
    <ds:schemaRef ds:uri="http://schemas.microsoft.com/sharepoint/v3/fields"/>
    <ds:schemaRef ds:uri="1c5afdd9-10a7-4471-939e-3b6fefddb120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169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Altmann</dc:creator>
  <cp:keywords/>
  <dc:description/>
  <cp:lastModifiedBy>Jan Prucek</cp:lastModifiedBy>
  <cp:revision>16</cp:revision>
  <dcterms:created xsi:type="dcterms:W3CDTF">2020-04-24T08:51:00Z</dcterms:created>
  <dcterms:modified xsi:type="dcterms:W3CDTF">2023-01-18T15:52:00Z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