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3F32A4F0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D35E54" w:rsidRPr="00D35E54">
        <w:rPr>
          <w:rFonts w:ascii="Book Antiqua" w:hAnsi="Book Antiqua" w:cstheme="minorHAnsi"/>
          <w:b/>
          <w:bCs/>
          <w:sz w:val="24"/>
          <w:szCs w:val="24"/>
        </w:rPr>
        <w:t>Rekonstrukce silnice II/363</w:t>
      </w:r>
      <w:r w:rsidR="004B5278">
        <w:rPr>
          <w:rFonts w:ascii="Book Antiqua" w:hAnsi="Book Antiqua" w:cstheme="minorHAnsi"/>
          <w:b/>
          <w:bCs/>
          <w:sz w:val="24"/>
          <w:szCs w:val="24"/>
        </w:rPr>
        <w:t xml:space="preserve"> - Pomezí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50C2122F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 xml:space="preserve">“) </w:t>
      </w:r>
      <w:r w:rsidR="0023264D">
        <w:rPr>
          <w:rFonts w:ascii="Book Antiqua" w:hAnsi="Book Antiqua" w:cs="Segoe UI"/>
          <w:lang w:eastAsia="cs-CZ"/>
        </w:rPr>
        <w:t>–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9A3DBE" w:rsidRPr="00F74B0C">
        <w:rPr>
          <w:rFonts w:ascii="Book Antiqua" w:hAnsi="Book Antiqua" w:cs="Segoe UI"/>
          <w:lang w:eastAsia="cs-CZ"/>
        </w:rPr>
        <w:t>Stavba</w:t>
      </w:r>
      <w:r w:rsidR="0023264D">
        <w:rPr>
          <w:rFonts w:ascii="Book Antiqua" w:hAnsi="Book Antiqua" w:cs="Segoe UI"/>
          <w:lang w:eastAsia="cs-CZ"/>
        </w:rPr>
        <w:t xml:space="preserve"> bude probíhat za úplné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59DC4E0A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4B5278" w:rsidRPr="004B5278">
        <w:rPr>
          <w:rFonts w:ascii="Book Antiqua" w:hAnsi="Book Antiqua" w:cstheme="minorHAnsi"/>
          <w:b/>
          <w:bCs/>
        </w:rPr>
        <w:t>Rekonstrukce silnice II/363 - Pomezí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68F92282" w:rsidR="00DA72D5" w:rsidRDefault="00512CE8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 xml:space="preserve">Vyfrézovaný materiál ze stavby je ve vlastnictví Objednatele a bude Zhotovitelem převezen a protokolárně uložen na skládku cestmistrovství </w:t>
      </w:r>
      <w:r>
        <w:rPr>
          <w:rFonts w:ascii="Book Antiqua" w:hAnsi="Book Antiqua" w:cs="Segoe UI"/>
          <w:lang w:eastAsia="cs-CZ"/>
        </w:rPr>
        <w:t>P</w:t>
      </w:r>
      <w:r w:rsidR="00926439">
        <w:rPr>
          <w:rFonts w:ascii="Book Antiqua" w:hAnsi="Book Antiqua" w:cs="Segoe UI"/>
          <w:lang w:eastAsia="cs-CZ"/>
        </w:rPr>
        <w:t>olička</w:t>
      </w:r>
      <w:r w:rsidRPr="00BB10A0">
        <w:rPr>
          <w:rFonts w:ascii="Book Antiqua" w:hAnsi="Book Antiqua" w:cs="Segoe UI"/>
          <w:lang w:eastAsia="cs-CZ"/>
        </w:rPr>
        <w:t xml:space="preserve"> (</w:t>
      </w:r>
      <w:r w:rsidRPr="00A6458D">
        <w:rPr>
          <w:rFonts w:ascii="Book Antiqua" w:hAnsi="Book Antiqua" w:cs="Segoe UI"/>
          <w:lang w:eastAsia="cs-CZ"/>
        </w:rPr>
        <w:t>https://www.suspk.cz/</w:t>
      </w:r>
      <w:r w:rsidR="00926439">
        <w:rPr>
          <w:rFonts w:ascii="Book Antiqua" w:hAnsi="Book Antiqua" w:cs="Segoe UI"/>
          <w:lang w:eastAsia="cs-CZ"/>
        </w:rPr>
        <w:t>policka</w:t>
      </w:r>
      <w:r w:rsidRPr="00BB10A0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1E8EC185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F83AA4" w:rsidRPr="00F83AA4">
        <w:rPr>
          <w:rFonts w:ascii="Book Antiqua" w:hAnsi="Book Antiqua" w:cstheme="minorHAnsi"/>
          <w:b/>
          <w:bCs/>
          <w:sz w:val="24"/>
          <w:szCs w:val="24"/>
        </w:rPr>
        <w:t>Rekonstrukce silnice II/363 - Pomezí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42A2AD08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F83AA4" w:rsidRPr="00F83AA4">
        <w:rPr>
          <w:rFonts w:ascii="Book Antiqua" w:hAnsi="Book Antiqua" w:cstheme="minorHAnsi"/>
          <w:b/>
          <w:bCs/>
          <w:sz w:val="24"/>
          <w:szCs w:val="24"/>
        </w:rPr>
        <w:t>Rekonstrukce silnice II/363 - Pomezí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6DE46" w14:textId="77777777" w:rsidR="005E695F" w:rsidRDefault="005E695F" w:rsidP="00852575">
      <w:pPr>
        <w:spacing w:after="0" w:line="240" w:lineRule="auto"/>
      </w:pPr>
      <w:r>
        <w:separator/>
      </w:r>
    </w:p>
  </w:endnote>
  <w:endnote w:type="continuationSeparator" w:id="0">
    <w:p w14:paraId="6CD6E0E2" w14:textId="77777777" w:rsidR="005E695F" w:rsidRDefault="005E695F" w:rsidP="00852575">
      <w:pPr>
        <w:spacing w:after="0" w:line="240" w:lineRule="auto"/>
      </w:pPr>
      <w:r>
        <w:continuationSeparator/>
      </w:r>
    </w:p>
  </w:endnote>
  <w:endnote w:type="continuationNotice" w:id="1">
    <w:p w14:paraId="28542638" w14:textId="77777777" w:rsidR="005E695F" w:rsidRDefault="005E69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95D06" w14:textId="77777777" w:rsidR="005E695F" w:rsidRDefault="005E695F" w:rsidP="00852575">
      <w:pPr>
        <w:spacing w:after="0" w:line="240" w:lineRule="auto"/>
      </w:pPr>
      <w:r>
        <w:separator/>
      </w:r>
    </w:p>
  </w:footnote>
  <w:footnote w:type="continuationSeparator" w:id="0">
    <w:p w14:paraId="4E6BB9EC" w14:textId="77777777" w:rsidR="005E695F" w:rsidRDefault="005E695F" w:rsidP="00852575">
      <w:pPr>
        <w:spacing w:after="0" w:line="240" w:lineRule="auto"/>
      </w:pPr>
      <w:r>
        <w:continuationSeparator/>
      </w:r>
    </w:p>
  </w:footnote>
  <w:footnote w:type="continuationNotice" w:id="1">
    <w:p w14:paraId="4766F924" w14:textId="77777777" w:rsidR="005E695F" w:rsidRDefault="005E69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6BF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5653"/>
    <w:rsid w:val="00225E4F"/>
    <w:rsid w:val="00227D1A"/>
    <w:rsid w:val="0023264D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15901"/>
    <w:rsid w:val="004221FA"/>
    <w:rsid w:val="00431876"/>
    <w:rsid w:val="004340EC"/>
    <w:rsid w:val="00434813"/>
    <w:rsid w:val="00436000"/>
    <w:rsid w:val="00440F94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5278"/>
    <w:rsid w:val="004B7306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2CE8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695F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0AE7"/>
    <w:rsid w:val="0066314E"/>
    <w:rsid w:val="00664003"/>
    <w:rsid w:val="006649F7"/>
    <w:rsid w:val="00666A4C"/>
    <w:rsid w:val="00667915"/>
    <w:rsid w:val="00667BA2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C7F52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26439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3DBE"/>
    <w:rsid w:val="009A5D97"/>
    <w:rsid w:val="009A6447"/>
    <w:rsid w:val="009B2995"/>
    <w:rsid w:val="009B54EF"/>
    <w:rsid w:val="009B6723"/>
    <w:rsid w:val="009B6D3A"/>
    <w:rsid w:val="009C0F01"/>
    <w:rsid w:val="009C2EB3"/>
    <w:rsid w:val="009C4552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D5A99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1F82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5E54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0986"/>
    <w:rsid w:val="00F72DDC"/>
    <w:rsid w:val="00F74B0C"/>
    <w:rsid w:val="00F76EA8"/>
    <w:rsid w:val="00F82D98"/>
    <w:rsid w:val="00F83AA4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15</Pages>
  <Words>4158</Words>
  <Characters>24539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236</cp:revision>
  <cp:lastPrinted>2019-03-08T21:33:00Z</cp:lastPrinted>
  <dcterms:created xsi:type="dcterms:W3CDTF">2022-01-19T22:49:00Z</dcterms:created>
  <dcterms:modified xsi:type="dcterms:W3CDTF">2025-02-14T23:31:00Z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