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60C31824" w:rsidR="00841AE4" w:rsidRPr="00FB0F83" w:rsidRDefault="00841AE4" w:rsidP="71AA3823">
      <w:pPr>
        <w:suppressAutoHyphens/>
        <w:jc w:val="center"/>
        <w:rPr>
          <w:rFonts w:ascii="Arial" w:eastAsia="Times New Roman" w:hAnsi="Arial" w:cs="Arial"/>
          <w:b/>
          <w:bCs/>
          <w:sz w:val="20"/>
          <w:szCs w:val="20"/>
        </w:rPr>
      </w:pPr>
      <w:r w:rsidRPr="004B6E9A">
        <w:rPr>
          <w:rFonts w:ascii="Arial" w:eastAsia="Times New Roman" w:hAnsi="Arial" w:cs="Arial"/>
          <w:b/>
          <w:bCs/>
          <w:sz w:val="20"/>
          <w:szCs w:val="20"/>
        </w:rPr>
        <w:t>„</w:t>
      </w:r>
      <w:r w:rsidR="004B6E9A" w:rsidRPr="004B6E9A">
        <w:rPr>
          <w:rFonts w:ascii="Arial" w:hAnsi="Arial" w:cs="Arial"/>
          <w:b/>
          <w:bCs/>
        </w:rPr>
        <w:t xml:space="preserve">Udržovací práce a st. úpravy střešního pláště, stavba na parcele KN p. č. st. 678 a st. 677 v k. </w:t>
      </w:r>
      <w:proofErr w:type="spellStart"/>
      <w:r w:rsidR="004B6E9A" w:rsidRPr="004B6E9A">
        <w:rPr>
          <w:rFonts w:ascii="Arial" w:hAnsi="Arial" w:cs="Arial"/>
          <w:b/>
          <w:bCs/>
        </w:rPr>
        <w:t>ú.</w:t>
      </w:r>
      <w:proofErr w:type="spellEnd"/>
      <w:r w:rsidR="004B6E9A" w:rsidRPr="004B6E9A">
        <w:rPr>
          <w:rFonts w:ascii="Arial" w:hAnsi="Arial" w:cs="Arial"/>
          <w:b/>
          <w:bCs/>
        </w:rPr>
        <w:t xml:space="preserve"> Žamberk</w:t>
      </w:r>
      <w:r w:rsidRPr="004B6E9A">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72768"/>
    <w:rsid w:val="004A27E5"/>
    <w:rsid w:val="004B6E9A"/>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B26B3"/>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925</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37</cp:revision>
  <dcterms:created xsi:type="dcterms:W3CDTF">2024-08-16T06:31:00Z</dcterms:created>
  <dcterms:modified xsi:type="dcterms:W3CDTF">2025-06-24T08:28:00Z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