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6ACD0" w14:textId="77777777" w:rsidR="007A72C4" w:rsidRDefault="007A72C4" w:rsidP="007A72C4">
      <w:pPr>
        <w:spacing w:before="0" w:after="0"/>
        <w:rPr>
          <w:rFonts w:ascii="Book Antiqua" w:hAnsi="Book Antiqua"/>
          <w:bCs/>
          <w:iCs/>
          <w:szCs w:val="22"/>
        </w:rPr>
      </w:pPr>
    </w:p>
    <w:p w14:paraId="1A7099E8" w14:textId="46D03CE2" w:rsidR="007A72C4" w:rsidRDefault="00BB5C83" w:rsidP="007A72C4">
      <w:pPr>
        <w:spacing w:before="0" w:after="0"/>
        <w:rPr>
          <w:rFonts w:ascii="Book Antiqua" w:hAnsi="Book Antiqua"/>
          <w:b/>
          <w:iCs/>
          <w:szCs w:val="22"/>
        </w:rPr>
      </w:pPr>
      <w:r>
        <w:rPr>
          <w:rFonts w:ascii="Book Antiqua" w:hAnsi="Book Antiqua"/>
          <w:b/>
          <w:iCs/>
          <w:szCs w:val="22"/>
        </w:rPr>
        <w:t xml:space="preserve">Struktura </w:t>
      </w:r>
      <w:r w:rsidR="007A72C4" w:rsidRPr="007A72C4">
        <w:rPr>
          <w:rFonts w:ascii="Book Antiqua" w:hAnsi="Book Antiqua"/>
          <w:b/>
          <w:iCs/>
          <w:szCs w:val="22"/>
        </w:rPr>
        <w:t>Příloh</w:t>
      </w:r>
      <w:r>
        <w:rPr>
          <w:rFonts w:ascii="Book Antiqua" w:hAnsi="Book Antiqua"/>
          <w:b/>
          <w:iCs/>
          <w:szCs w:val="22"/>
        </w:rPr>
        <w:t>y</w:t>
      </w:r>
      <w:r w:rsidR="007A72C4" w:rsidRPr="007A72C4">
        <w:rPr>
          <w:rFonts w:ascii="Book Antiqua" w:hAnsi="Book Antiqua"/>
          <w:b/>
          <w:iCs/>
          <w:szCs w:val="22"/>
        </w:rPr>
        <w:t xml:space="preserve"> č. 2 – Obchodní a smluvní podmínky</w:t>
      </w:r>
    </w:p>
    <w:p w14:paraId="6CCD13CC" w14:textId="77777777" w:rsidR="007A72C4" w:rsidRPr="007A72C4" w:rsidRDefault="007A72C4" w:rsidP="007A72C4">
      <w:pPr>
        <w:spacing w:before="0" w:after="0"/>
        <w:rPr>
          <w:rFonts w:ascii="Book Antiqua" w:hAnsi="Book Antiqua"/>
          <w:b/>
          <w:iCs/>
          <w:szCs w:val="22"/>
        </w:rPr>
      </w:pPr>
    </w:p>
    <w:p w14:paraId="127D73FF" w14:textId="77777777" w:rsidR="007A72C4" w:rsidRPr="007A72C4" w:rsidRDefault="007A72C4" w:rsidP="007A72C4">
      <w:p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</w:t>
      </w:r>
      <w:r>
        <w:rPr>
          <w:rFonts w:ascii="Book Antiqua" w:hAnsi="Book Antiqua"/>
          <w:bCs/>
          <w:iCs/>
          <w:szCs w:val="22"/>
        </w:rPr>
        <w:t>u</w:t>
      </w:r>
      <w:r w:rsidRPr="007A72C4">
        <w:rPr>
          <w:rFonts w:ascii="Book Antiqua" w:hAnsi="Book Antiqua"/>
          <w:bCs/>
          <w:iCs/>
          <w:szCs w:val="22"/>
        </w:rPr>
        <w:t xml:space="preserve"> č. 2 </w:t>
      </w:r>
      <w:r>
        <w:rPr>
          <w:rFonts w:ascii="Book Antiqua" w:hAnsi="Book Antiqua"/>
          <w:bCs/>
          <w:iCs/>
          <w:szCs w:val="22"/>
        </w:rPr>
        <w:t xml:space="preserve">- </w:t>
      </w:r>
      <w:r w:rsidRPr="007A72C4">
        <w:rPr>
          <w:rFonts w:ascii="Book Antiqua" w:hAnsi="Book Antiqua"/>
          <w:bCs/>
          <w:iCs/>
          <w:szCs w:val="22"/>
        </w:rPr>
        <w:t>Obchodní a smluvní</w:t>
      </w:r>
      <w:r>
        <w:rPr>
          <w:rFonts w:ascii="Book Antiqua" w:hAnsi="Book Antiqua"/>
          <w:bCs/>
          <w:iCs/>
          <w:szCs w:val="22"/>
        </w:rPr>
        <w:t xml:space="preserve"> těchto zadávacích podmínek tvoří následující přílohy:</w:t>
      </w:r>
    </w:p>
    <w:p w14:paraId="71D7ACEA" w14:textId="77777777" w:rsidR="007A72C4" w:rsidRPr="007A72C4" w:rsidRDefault="007A72C4" w:rsidP="007A72C4">
      <w:pPr>
        <w:numPr>
          <w:ilvl w:val="0"/>
          <w:numId w:val="1"/>
        </w:num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Příloha č. 2.1 – Smlouva o poskytování služeb;</w:t>
      </w:r>
    </w:p>
    <w:p w14:paraId="7A117E72" w14:textId="77777777" w:rsidR="007A72C4" w:rsidRPr="007A72C4" w:rsidRDefault="007A72C4" w:rsidP="007A72C4">
      <w:pPr>
        <w:numPr>
          <w:ilvl w:val="0"/>
          <w:numId w:val="1"/>
        </w:num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Příloha č. 2.2 – FIDIC White book – Obecné podmínky;</w:t>
      </w:r>
    </w:p>
    <w:p w14:paraId="0C2CDBEB" w14:textId="77777777" w:rsidR="007A72C4" w:rsidRPr="007A72C4" w:rsidRDefault="007A72C4" w:rsidP="007A72C4">
      <w:pPr>
        <w:numPr>
          <w:ilvl w:val="0"/>
          <w:numId w:val="1"/>
        </w:num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Příloha č. 2.3 – FIDIC White book – Zvláštní podmínky;</w:t>
      </w:r>
    </w:p>
    <w:p w14:paraId="2FFD8DA1" w14:textId="77777777" w:rsidR="007A72C4" w:rsidRPr="007A72C4" w:rsidRDefault="007A72C4" w:rsidP="007A72C4">
      <w:pPr>
        <w:numPr>
          <w:ilvl w:val="1"/>
          <w:numId w:val="1"/>
        </w:num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Příloha č. 1 Zvláštních podmínek – Rozsah služeb;</w:t>
      </w:r>
    </w:p>
    <w:p w14:paraId="2D2F295D" w14:textId="77777777" w:rsidR="007A72C4" w:rsidRDefault="007A72C4" w:rsidP="007A72C4">
      <w:pPr>
        <w:numPr>
          <w:ilvl w:val="1"/>
          <w:numId w:val="1"/>
        </w:num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Příloha č. 2 Zvláštních podmínek – Personál, vybavení a zázemí,</w:t>
      </w:r>
    </w:p>
    <w:p w14:paraId="0552A064" w14:textId="77777777" w:rsidR="007A72C4" w:rsidRPr="007A72C4" w:rsidRDefault="007A72C4" w:rsidP="007A72C4">
      <w:pPr>
        <w:spacing w:before="0" w:after="0"/>
        <w:ind w:left="4956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dokumentace a služby třetích osob</w:t>
      </w:r>
      <w:r>
        <w:rPr>
          <w:rFonts w:ascii="Book Antiqua" w:hAnsi="Book Antiqua"/>
          <w:bCs/>
          <w:iCs/>
          <w:szCs w:val="22"/>
        </w:rPr>
        <w:t xml:space="preserve"> </w:t>
      </w:r>
      <w:r w:rsidRPr="007A72C4">
        <w:rPr>
          <w:rFonts w:ascii="Book Antiqua" w:hAnsi="Book Antiqua"/>
          <w:bCs/>
          <w:iCs/>
          <w:szCs w:val="22"/>
        </w:rPr>
        <w:t>poskytované Objednatelem;</w:t>
      </w:r>
    </w:p>
    <w:p w14:paraId="4DDFDA5E" w14:textId="77777777" w:rsidR="007A72C4" w:rsidRPr="007A72C4" w:rsidRDefault="007A72C4" w:rsidP="007A72C4">
      <w:pPr>
        <w:numPr>
          <w:ilvl w:val="1"/>
          <w:numId w:val="1"/>
        </w:num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Příloha č. 3 Zvláštních podmínek – Odměna a platba;</w:t>
      </w:r>
    </w:p>
    <w:p w14:paraId="1FC93146" w14:textId="77777777" w:rsidR="007A72C4" w:rsidRPr="007A72C4" w:rsidRDefault="007A72C4" w:rsidP="007A72C4">
      <w:pPr>
        <w:numPr>
          <w:ilvl w:val="1"/>
          <w:numId w:val="1"/>
        </w:numPr>
        <w:spacing w:before="0" w:after="0"/>
        <w:rPr>
          <w:rFonts w:ascii="Book Antiqua" w:hAnsi="Book Antiqua"/>
          <w:bCs/>
          <w:iCs/>
          <w:szCs w:val="22"/>
        </w:rPr>
      </w:pPr>
      <w:r w:rsidRPr="007A72C4">
        <w:rPr>
          <w:rFonts w:ascii="Book Antiqua" w:hAnsi="Book Antiqua"/>
          <w:bCs/>
          <w:iCs/>
          <w:szCs w:val="22"/>
        </w:rPr>
        <w:t>Příloha č. 4 Zvláštních podmínek – Harmonogram;</w:t>
      </w:r>
    </w:p>
    <w:p w14:paraId="04741E34" w14:textId="77777777" w:rsidR="001D756F" w:rsidRPr="007A72C4" w:rsidRDefault="007A72C4">
      <w:pPr>
        <w:rPr>
          <w:rFonts w:ascii="Book Antiqua" w:hAnsi="Book Antiqua"/>
        </w:rPr>
      </w:pPr>
      <w:r w:rsidRPr="007A72C4">
        <w:rPr>
          <w:rFonts w:ascii="Book Antiqua" w:hAnsi="Book Antiqua"/>
        </w:rPr>
        <w:t>Vzájemnou hierarchii dokumentů</w:t>
      </w:r>
      <w:r>
        <w:rPr>
          <w:rFonts w:ascii="Book Antiqua" w:hAnsi="Book Antiqua"/>
        </w:rPr>
        <w:t xml:space="preserve"> tvořících Smlouvu</w:t>
      </w:r>
      <w:r w:rsidRPr="007A72C4">
        <w:rPr>
          <w:rFonts w:ascii="Book Antiqua" w:hAnsi="Book Antiqua"/>
        </w:rPr>
        <w:t xml:space="preserve"> stanovuje Pod-čl. 1.15 Zvláštních podmínek.</w:t>
      </w:r>
    </w:p>
    <w:sectPr w:rsidR="001D756F" w:rsidRPr="007A7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5C2D3D"/>
    <w:multiLevelType w:val="hybridMultilevel"/>
    <w:tmpl w:val="9104C7A6"/>
    <w:lvl w:ilvl="0" w:tplc="63DA15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C4"/>
    <w:rsid w:val="001D756F"/>
    <w:rsid w:val="007A72C4"/>
    <w:rsid w:val="00BB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B9E2"/>
  <w15:chartTrackingRefBased/>
  <w15:docId w15:val="{87E21951-89E8-4C12-AE98-56D5E4C1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72C4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72C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2C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</documentManagement>
</p:properties>
</file>

<file path=customXml/itemProps1.xml><?xml version="1.0" encoding="utf-8"?>
<ds:datastoreItem xmlns:ds="http://schemas.openxmlformats.org/officeDocument/2006/customXml" ds:itemID="{96CBC453-0F1A-4CEF-930C-F48B3A865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8B0C5-2A99-4994-A6DC-826CDC33F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BFA73F-4A41-46B3-8E4B-0E216078DBC2}">
  <ds:schemaRefs>
    <ds:schemaRef ds:uri="1c5afdd9-10a7-4471-939e-3b6fefddb12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b0a2e31-377b-4a4f-8b74-191dd8e2e1a2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569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Altmann</dc:creator>
  <cp:keywords/>
  <dc:description/>
  <cp:lastModifiedBy>Martin Altmann</cp:lastModifiedBy>
  <cp:revision>2</cp:revision>
  <dcterms:created xsi:type="dcterms:W3CDTF">2020-04-24T10:10:00Z</dcterms:created>
  <dcterms:modified xsi:type="dcterms:W3CDTF">2020-04-24T10:19:00Z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