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2494253F"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E66364" w:rsidRPr="00F072ED">
        <w:rPr>
          <w:rFonts w:ascii="Arial" w:hAnsi="Arial" w:cs="Arial"/>
          <w:b/>
        </w:rPr>
        <w:t>Technická asistence a konzultační služby, Smluvní podmínky FIDIC</w:t>
      </w:r>
      <w:r w:rsidRPr="00AE0ECB">
        <w:rPr>
          <w:rFonts w:ascii="Times New Roman" w:hAnsi="Times New Roman" w:cs="Times New Roman"/>
          <w:b/>
          <w:sz w:val="32"/>
          <w:szCs w:val="32"/>
        </w:rPr>
        <w:t>“</w:t>
      </w:r>
    </w:p>
    <w:p w14:paraId="12859123" w14:textId="6AB105F8"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37091E">
        <w:rPr>
          <w:rFonts w:ascii="Times New Roman" w:hAnsi="Times New Roman" w:cs="Times New Roman"/>
          <w:b/>
          <w:bCs/>
          <w:sz w:val="24"/>
          <w:szCs w:val="24"/>
        </w:rPr>
        <w:t>SMLO-</w:t>
      </w:r>
      <w:r w:rsidR="0037091E" w:rsidRPr="0037091E">
        <w:rPr>
          <w:rFonts w:ascii="Times New Roman" w:hAnsi="Times New Roman" w:cs="Times New Roman"/>
          <w:b/>
          <w:bCs/>
          <w:sz w:val="24"/>
          <w:szCs w:val="24"/>
        </w:rPr>
        <w:t>203</w:t>
      </w:r>
      <w:r w:rsidR="00D64D8A" w:rsidRPr="0037091E">
        <w:rPr>
          <w:rFonts w:ascii="Times New Roman" w:hAnsi="Times New Roman" w:cs="Times New Roman"/>
          <w:b/>
          <w:bCs/>
          <w:sz w:val="24"/>
          <w:szCs w:val="24"/>
        </w:rPr>
        <w:t>/</w:t>
      </w:r>
      <w:r w:rsidR="00DC10AD" w:rsidRPr="0037091E">
        <w:rPr>
          <w:rFonts w:ascii="Times New Roman" w:hAnsi="Times New Roman" w:cs="Times New Roman"/>
          <w:b/>
          <w:bCs/>
          <w:sz w:val="24"/>
          <w:szCs w:val="24"/>
        </w:rPr>
        <w:t>1</w:t>
      </w:r>
      <w:r w:rsidR="0037091E" w:rsidRPr="0037091E">
        <w:rPr>
          <w:rFonts w:ascii="Times New Roman" w:hAnsi="Times New Roman" w:cs="Times New Roman"/>
          <w:b/>
          <w:bCs/>
          <w:sz w:val="24"/>
          <w:szCs w:val="24"/>
        </w:rPr>
        <w:t>15</w:t>
      </w:r>
      <w:r w:rsidR="00DC10AD" w:rsidRPr="0037091E">
        <w:rPr>
          <w:rFonts w:ascii="Times New Roman" w:hAnsi="Times New Roman" w:cs="Times New Roman"/>
          <w:b/>
          <w:bCs/>
          <w:sz w:val="24"/>
          <w:szCs w:val="24"/>
        </w:rPr>
        <w:t>3/OST/20/202</w:t>
      </w:r>
      <w:r w:rsidR="00EE2673" w:rsidRPr="0037091E">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2C83D7B9"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49638F">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2586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8DDF125"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4D2308">
        <w:rPr>
          <w:rFonts w:ascii="Times New Roman" w:hAnsi="Times New Roman" w:cs="Times New Roman"/>
          <w:sz w:val="24"/>
          <w:szCs w:val="24"/>
        </w:rPr>
        <w:t xml:space="preserve">výkon technické </w:t>
      </w:r>
      <w:r w:rsidR="00E66364">
        <w:rPr>
          <w:rFonts w:ascii="Times New Roman" w:hAnsi="Times New Roman" w:cs="Times New Roman"/>
          <w:sz w:val="24"/>
          <w:szCs w:val="24"/>
        </w:rPr>
        <w:t>asistence a konzultační služby v rámci přípravy a realizace staveb v Pardubickém kraji dle Smluvních podmínek FIDIC</w:t>
      </w:r>
      <w:r w:rsidR="004D230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w:t>
      </w:r>
      <w:r w:rsidRPr="00070D84">
        <w:rPr>
          <w:rFonts w:ascii="Times New Roman" w:hAnsi="Times New Roman" w:cs="Times New Roman"/>
          <w:sz w:val="24"/>
          <w:szCs w:val="24"/>
        </w:rPr>
        <w:lastRenderedPageBreak/>
        <w:t xml:space="preserve">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0BACD792"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E66364">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w:t>
      </w:r>
      <w:r w:rsidR="00E66364">
        <w:rPr>
          <w:rFonts w:ascii="Times New Roman" w:hAnsi="Times New Roman" w:cs="Times New Roman"/>
          <w:bCs/>
          <w:iCs/>
          <w:sz w:val="24"/>
          <w:szCs w:val="24"/>
        </w:rPr>
        <w:t xml:space="preserve"> nebo vyčerpáním finančních prostředků</w:t>
      </w:r>
      <w:r w:rsidR="00F84207" w:rsidRPr="00F84207">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 xml:space="preserve">Poskytovatele uvedeného na </w:t>
      </w:r>
      <w:r>
        <w:rPr>
          <w:rFonts w:ascii="Times New Roman" w:hAnsi="Times New Roman" w:cs="Times New Roman"/>
          <w:sz w:val="24"/>
          <w:szCs w:val="24"/>
        </w:rPr>
        <w:lastRenderedPageBreak/>
        <w:t>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w:t>
      </w:r>
      <w:r w:rsidRPr="00494A7E">
        <w:rPr>
          <w:rFonts w:ascii="Times New Roman" w:hAnsi="Times New Roman" w:cs="Times New Roman"/>
          <w:sz w:val="24"/>
          <w:szCs w:val="24"/>
        </w:rPr>
        <w:lastRenderedPageBreak/>
        <w:t xml:space="preserve">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20BA6733" w14:textId="77777777" w:rsidR="0049638F" w:rsidRPr="00540E11" w:rsidRDefault="0049638F" w:rsidP="0049638F">
      <w:pPr>
        <w:pStyle w:val="Smlouva3"/>
        <w:numPr>
          <w:ilvl w:val="0"/>
          <w:numId w:val="2"/>
        </w:numPr>
        <w:tabs>
          <w:tab w:val="left" w:pos="426"/>
        </w:tabs>
        <w:spacing w:before="80" w:after="80" w:line="320" w:lineRule="atLeast"/>
        <w:rPr>
          <w:szCs w:val="24"/>
        </w:rPr>
      </w:pPr>
      <w:r>
        <w:rPr>
          <w:color w:val="000000"/>
          <w:szCs w:val="24"/>
        </w:rPr>
        <w:lastRenderedPageBreak/>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w:t>
      </w:r>
      <w:proofErr w:type="gramStart"/>
      <w:r w:rsidRPr="00540E11">
        <w:rPr>
          <w:szCs w:val="24"/>
        </w:rPr>
        <w:t>poruší</w:t>
      </w:r>
      <w:proofErr w:type="gramEnd"/>
      <w:r w:rsidRPr="00540E11">
        <w:rPr>
          <w:szCs w:val="24"/>
        </w:rPr>
        <w:t xml:space="preserve"> záruku integrity po uzavření této smlouvy.</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0FB09F27"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E66364">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0CC466F6"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Smlouva se vyhotovuje</w:t>
      </w:r>
      <w:r w:rsidR="0049638F">
        <w:rPr>
          <w:rFonts w:ascii="Times New Roman" w:hAnsi="Times New Roman" w:cs="Times New Roman"/>
          <w:sz w:val="24"/>
          <w:szCs w:val="24"/>
        </w:rPr>
        <w:t xml:space="preserve"> v elektronické podobě</w:t>
      </w:r>
      <w:r w:rsidRPr="00B14DF9">
        <w:rPr>
          <w:rFonts w:ascii="Times New Roman" w:hAnsi="Times New Roman" w:cs="Times New Roman"/>
          <w:sz w:val="24"/>
          <w:szCs w:val="24"/>
        </w:rPr>
        <w:t xml:space="preserve">, </w:t>
      </w:r>
      <w:r w:rsidR="0049638F">
        <w:rPr>
          <w:rFonts w:ascii="Times New Roman" w:hAnsi="Times New Roman" w:cs="Times New Roman"/>
          <w:sz w:val="24"/>
          <w:szCs w:val="24"/>
        </w:rPr>
        <w:t xml:space="preserve">přičemž každá strana </w:t>
      </w:r>
      <w:proofErr w:type="gramStart"/>
      <w:r w:rsidR="0049638F">
        <w:rPr>
          <w:rFonts w:ascii="Times New Roman" w:hAnsi="Times New Roman" w:cs="Times New Roman"/>
          <w:sz w:val="24"/>
          <w:szCs w:val="24"/>
        </w:rPr>
        <w:t>obdrží</w:t>
      </w:r>
      <w:proofErr w:type="gramEnd"/>
      <w:r w:rsidR="0049638F">
        <w:rPr>
          <w:rFonts w:ascii="Times New Roman" w:hAnsi="Times New Roman" w:cs="Times New Roman"/>
          <w:sz w:val="24"/>
          <w:szCs w:val="24"/>
        </w:rPr>
        <w:t xml:space="preserve"> elektronický originál</w:t>
      </w:r>
      <w:r w:rsidRPr="00B14DF9">
        <w:rPr>
          <w:rFonts w:ascii="Times New Roman" w:hAnsi="Times New Roman" w:cs="Times New Roman"/>
          <w:sz w:val="24"/>
          <w:szCs w:val="24"/>
        </w:rPr>
        <w:t>.</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85EBD" w14:textId="77777777" w:rsidR="00CE457B" w:rsidRDefault="00CE457B" w:rsidP="00A3112D">
      <w:pPr>
        <w:spacing w:after="0" w:line="240" w:lineRule="auto"/>
      </w:pPr>
      <w:r>
        <w:separator/>
      </w:r>
    </w:p>
  </w:endnote>
  <w:endnote w:type="continuationSeparator" w:id="0">
    <w:p w14:paraId="7CD9827F" w14:textId="77777777" w:rsidR="00CE457B" w:rsidRDefault="00CE457B"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1C01F1" w14:textId="77777777" w:rsidR="00CE457B" w:rsidRDefault="00CE457B" w:rsidP="00A3112D">
      <w:pPr>
        <w:spacing w:after="0" w:line="240" w:lineRule="auto"/>
      </w:pPr>
      <w:r>
        <w:separator/>
      </w:r>
    </w:p>
  </w:footnote>
  <w:footnote w:type="continuationSeparator" w:id="0">
    <w:p w14:paraId="3C042998" w14:textId="77777777" w:rsidR="00CE457B" w:rsidRDefault="00CE457B"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17403432">
    <w:abstractNumId w:val="22"/>
  </w:num>
  <w:num w:numId="2" w16cid:durableId="906692364">
    <w:abstractNumId w:val="26"/>
  </w:num>
  <w:num w:numId="3" w16cid:durableId="295068049">
    <w:abstractNumId w:val="7"/>
  </w:num>
  <w:num w:numId="4" w16cid:durableId="1102145375">
    <w:abstractNumId w:val="10"/>
  </w:num>
  <w:num w:numId="5" w16cid:durableId="490945127">
    <w:abstractNumId w:val="11"/>
  </w:num>
  <w:num w:numId="6" w16cid:durableId="1726681099">
    <w:abstractNumId w:val="9"/>
  </w:num>
  <w:num w:numId="7" w16cid:durableId="1111557835">
    <w:abstractNumId w:val="5"/>
  </w:num>
  <w:num w:numId="8" w16cid:durableId="1692417301">
    <w:abstractNumId w:val="1"/>
  </w:num>
  <w:num w:numId="9" w16cid:durableId="2074084608">
    <w:abstractNumId w:val="21"/>
  </w:num>
  <w:num w:numId="10" w16cid:durableId="330059734">
    <w:abstractNumId w:val="24"/>
  </w:num>
  <w:num w:numId="11" w16cid:durableId="1751805561">
    <w:abstractNumId w:val="16"/>
  </w:num>
  <w:num w:numId="12" w16cid:durableId="1488785187">
    <w:abstractNumId w:val="12"/>
  </w:num>
  <w:num w:numId="13" w16cid:durableId="868832032">
    <w:abstractNumId w:val="19"/>
  </w:num>
  <w:num w:numId="14" w16cid:durableId="313918131">
    <w:abstractNumId w:val="13"/>
  </w:num>
  <w:num w:numId="15" w16cid:durableId="1373922463">
    <w:abstractNumId w:val="3"/>
  </w:num>
  <w:num w:numId="16" w16cid:durableId="1452744625">
    <w:abstractNumId w:val="8"/>
  </w:num>
  <w:num w:numId="17" w16cid:durableId="1524399053">
    <w:abstractNumId w:val="14"/>
  </w:num>
  <w:num w:numId="18" w16cid:durableId="1673995999">
    <w:abstractNumId w:val="6"/>
  </w:num>
  <w:num w:numId="19" w16cid:durableId="636182912">
    <w:abstractNumId w:val="25"/>
  </w:num>
  <w:num w:numId="20" w16cid:durableId="618488398">
    <w:abstractNumId w:val="18"/>
  </w:num>
  <w:num w:numId="21" w16cid:durableId="355351529">
    <w:abstractNumId w:val="23"/>
  </w:num>
  <w:num w:numId="22" w16cid:durableId="490872844">
    <w:abstractNumId w:val="0"/>
  </w:num>
  <w:num w:numId="23" w16cid:durableId="1718310994">
    <w:abstractNumId w:val="17"/>
  </w:num>
  <w:num w:numId="24" w16cid:durableId="1119684681">
    <w:abstractNumId w:val="4"/>
  </w:num>
  <w:num w:numId="25" w16cid:durableId="911282765">
    <w:abstractNumId w:val="15"/>
  </w:num>
  <w:num w:numId="26" w16cid:durableId="1018392014">
    <w:abstractNumId w:val="2"/>
  </w:num>
  <w:num w:numId="27" w16cid:durableId="16101620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338A0"/>
    <w:rsid w:val="00361001"/>
    <w:rsid w:val="0037091E"/>
    <w:rsid w:val="00371A47"/>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9638F"/>
    <w:rsid w:val="004B22F6"/>
    <w:rsid w:val="004C4F44"/>
    <w:rsid w:val="004C7260"/>
    <w:rsid w:val="004D2308"/>
    <w:rsid w:val="004F2A33"/>
    <w:rsid w:val="004F601F"/>
    <w:rsid w:val="004F7F07"/>
    <w:rsid w:val="00501932"/>
    <w:rsid w:val="00505903"/>
    <w:rsid w:val="00505E07"/>
    <w:rsid w:val="00506B29"/>
    <w:rsid w:val="00513185"/>
    <w:rsid w:val="00527BDF"/>
    <w:rsid w:val="00527FD2"/>
    <w:rsid w:val="00531852"/>
    <w:rsid w:val="005324BF"/>
    <w:rsid w:val="00533B31"/>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6D53C3"/>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457B"/>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B4BEC"/>
    <w:rsid w:val="00DC10AD"/>
    <w:rsid w:val="00DC5831"/>
    <w:rsid w:val="00DD36DF"/>
    <w:rsid w:val="00DD39D6"/>
    <w:rsid w:val="00DD73EE"/>
    <w:rsid w:val="00DF68E1"/>
    <w:rsid w:val="00E04710"/>
    <w:rsid w:val="00E106A7"/>
    <w:rsid w:val="00E14A67"/>
    <w:rsid w:val="00E15B68"/>
    <w:rsid w:val="00E2026B"/>
    <w:rsid w:val="00E44F0E"/>
    <w:rsid w:val="00E632EF"/>
    <w:rsid w:val="00E66364"/>
    <w:rsid w:val="00E67FF9"/>
    <w:rsid w:val="00E817F0"/>
    <w:rsid w:val="00E82345"/>
    <w:rsid w:val="00E857F3"/>
    <w:rsid w:val="00E92CE6"/>
    <w:rsid w:val="00E976A9"/>
    <w:rsid w:val="00EA153C"/>
    <w:rsid w:val="00EA306D"/>
    <w:rsid w:val="00EA4FE8"/>
    <w:rsid w:val="00EB7BAE"/>
    <w:rsid w:val="00EC39D1"/>
    <w:rsid w:val="00EC3A5E"/>
    <w:rsid w:val="00EC48D1"/>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49638F"/>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2316</Words>
  <Characters>13669</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2</cp:revision>
  <cp:lastPrinted>2021-10-19T08:18:00Z</cp:lastPrinted>
  <dcterms:created xsi:type="dcterms:W3CDTF">2024-05-24T08:27:00Z</dcterms:created>
  <dcterms:modified xsi:type="dcterms:W3CDTF">2024-05-24T08:27:00Z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