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D918C" w14:textId="7BF15968" w:rsidR="00C968D9" w:rsidRDefault="00C968D9" w:rsidP="00187B66">
      <w:pPr>
        <w:spacing w:before="120" w:after="120" w:line="276" w:lineRule="auto"/>
        <w:ind w:right="-24"/>
        <w:jc w:val="center"/>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4C6051E0" w14:textId="7390DF13" w:rsidR="00187B66" w:rsidRPr="00505E07" w:rsidRDefault="00187B66" w:rsidP="00187B66">
      <w:pPr>
        <w:spacing w:before="120" w:after="12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bookmarkStart w:id="0" w:name="_Hlk172453287"/>
      <w:bookmarkStart w:id="1" w:name="_Hlk100493935"/>
      <w:bookmarkStart w:id="2" w:name="_Hlk100731281"/>
      <w:bookmarkStart w:id="3" w:name="_Hlk163896350"/>
      <w:bookmarkStart w:id="4" w:name="_Hlk179039739"/>
      <w:r w:rsidR="003A3D70" w:rsidRPr="003A3D70">
        <w:rPr>
          <w:rFonts w:ascii="Times New Roman" w:hAnsi="Times New Roman" w:cs="Times New Roman"/>
          <w:b/>
        </w:rPr>
        <w:t>Expertní odborná pomoc metodiky SFDI, FIDIC a BIM</w:t>
      </w:r>
      <w:bookmarkEnd w:id="0"/>
      <w:bookmarkEnd w:id="1"/>
      <w:bookmarkEnd w:id="2"/>
      <w:bookmarkEnd w:id="3"/>
      <w:bookmarkEnd w:id="4"/>
      <w:r w:rsidRPr="003A3D70">
        <w:rPr>
          <w:rFonts w:ascii="Times New Roman" w:hAnsi="Times New Roman" w:cs="Times New Roman"/>
          <w:b/>
        </w:rPr>
        <w:t>“</w:t>
      </w:r>
    </w:p>
    <w:p w14:paraId="12859123" w14:textId="078526A0"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7236A7">
        <w:rPr>
          <w:rFonts w:ascii="Times New Roman" w:hAnsi="Times New Roman" w:cs="Times New Roman"/>
          <w:b/>
          <w:bCs/>
          <w:sz w:val="24"/>
          <w:szCs w:val="24"/>
        </w:rPr>
        <w:t>SMLO-</w:t>
      </w:r>
      <w:r w:rsidR="00D17007">
        <w:rPr>
          <w:rFonts w:ascii="Times New Roman" w:hAnsi="Times New Roman" w:cs="Times New Roman"/>
          <w:b/>
          <w:bCs/>
          <w:sz w:val="24"/>
          <w:szCs w:val="24"/>
        </w:rPr>
        <w:t>373</w:t>
      </w:r>
      <w:r w:rsidR="00D64D8A" w:rsidRPr="007236A7">
        <w:rPr>
          <w:rFonts w:ascii="Times New Roman" w:hAnsi="Times New Roman" w:cs="Times New Roman"/>
          <w:b/>
          <w:bCs/>
          <w:sz w:val="24"/>
          <w:szCs w:val="24"/>
        </w:rPr>
        <w:t>/</w:t>
      </w:r>
      <w:r w:rsidR="007236A7" w:rsidRPr="007236A7">
        <w:rPr>
          <w:rFonts w:ascii="Times New Roman" w:hAnsi="Times New Roman" w:cs="Times New Roman"/>
          <w:b/>
          <w:bCs/>
          <w:sz w:val="24"/>
          <w:szCs w:val="24"/>
        </w:rPr>
        <w:t>1153</w:t>
      </w:r>
      <w:r w:rsidR="00DC10AD" w:rsidRPr="007236A7">
        <w:rPr>
          <w:rFonts w:ascii="Times New Roman" w:hAnsi="Times New Roman" w:cs="Times New Roman"/>
          <w:b/>
          <w:bCs/>
          <w:sz w:val="24"/>
          <w:szCs w:val="24"/>
        </w:rPr>
        <w:t>/OST/20/202</w:t>
      </w:r>
      <w:r w:rsidR="00EE2673" w:rsidRPr="007236A7">
        <w:rPr>
          <w:rFonts w:ascii="Times New Roman" w:hAnsi="Times New Roman" w:cs="Times New Roman"/>
          <w:b/>
          <w:bCs/>
          <w:sz w:val="24"/>
          <w:szCs w:val="24"/>
        </w:rPr>
        <w:t>4</w:t>
      </w:r>
    </w:p>
    <w:p w14:paraId="720E25DD" w14:textId="1F36ECE7" w:rsidR="00C968D9" w:rsidRDefault="00187B66" w:rsidP="00C968D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OV2-</w:t>
      </w:r>
      <w:r w:rsidRPr="00187B66">
        <w:rPr>
          <w:rFonts w:ascii="Times New Roman" w:hAnsi="Times New Roman" w:cs="Times New Roman"/>
          <w:b/>
          <w:bCs/>
          <w:sz w:val="24"/>
          <w:szCs w:val="24"/>
        </w:rPr>
        <w:t>xxxx/2024</w:t>
      </w:r>
    </w:p>
    <w:p w14:paraId="28597791" w14:textId="77777777" w:rsidR="00187B66" w:rsidRDefault="00187B66" w:rsidP="00C968D9">
      <w:pPr>
        <w:spacing w:after="0" w:line="276" w:lineRule="auto"/>
        <w:jc w:val="center"/>
        <w:rPr>
          <w:rFonts w:ascii="Times New Roman" w:hAnsi="Times New Roman" w:cs="Times New Roman"/>
          <w:sz w:val="24"/>
          <w:szCs w:val="24"/>
        </w:rPr>
      </w:pPr>
    </w:p>
    <w:p w14:paraId="70000165" w14:textId="2EF42A57" w:rsidR="00187B66" w:rsidRPr="00187B66" w:rsidRDefault="00187B66" w:rsidP="00187B66">
      <w:pPr>
        <w:spacing w:after="0" w:line="276" w:lineRule="auto"/>
        <w:jc w:val="center"/>
        <w:rPr>
          <w:rFonts w:ascii="Times New Roman" w:hAnsi="Times New Roman" w:cs="Times New Roman"/>
          <w:sz w:val="24"/>
          <w:szCs w:val="24"/>
        </w:rPr>
      </w:pPr>
      <w:r w:rsidRPr="00187B66">
        <w:rPr>
          <w:rFonts w:ascii="Times New Roman" w:hAnsi="Times New Roman" w:cs="Times New Roman"/>
          <w:sz w:val="24"/>
          <w:szCs w:val="24"/>
        </w:rPr>
        <w:t xml:space="preserve">Tuto SMLOUVU O </w:t>
      </w:r>
      <w:r w:rsidR="00362DAA">
        <w:rPr>
          <w:rFonts w:ascii="Times New Roman" w:hAnsi="Times New Roman" w:cs="Times New Roman"/>
          <w:sz w:val="24"/>
          <w:szCs w:val="24"/>
        </w:rPr>
        <w:t>POSKYTOVÁNÍ SLUŽEB</w:t>
      </w:r>
      <w:r w:rsidRPr="00187B66">
        <w:rPr>
          <w:rFonts w:ascii="Times New Roman" w:hAnsi="Times New Roman" w:cs="Times New Roman"/>
          <w:sz w:val="24"/>
          <w:szCs w:val="24"/>
        </w:rPr>
        <w:t xml:space="preserve"> (dále jen „Smlouva“) uzavřely podle ustanovení § </w:t>
      </w:r>
      <w:r w:rsidR="00362DAA">
        <w:rPr>
          <w:rFonts w:ascii="Times New Roman" w:hAnsi="Times New Roman" w:cs="Times New Roman"/>
          <w:sz w:val="24"/>
          <w:szCs w:val="24"/>
        </w:rPr>
        <w:t>1746</w:t>
      </w:r>
      <w:r w:rsidR="004F1901">
        <w:rPr>
          <w:rFonts w:ascii="Times New Roman" w:hAnsi="Times New Roman" w:cs="Times New Roman"/>
          <w:sz w:val="24"/>
          <w:szCs w:val="24"/>
        </w:rPr>
        <w:t xml:space="preserve"> odst. 2</w:t>
      </w:r>
      <w:r w:rsidRPr="00187B66">
        <w:rPr>
          <w:rFonts w:ascii="Times New Roman" w:hAnsi="Times New Roman" w:cs="Times New Roman"/>
          <w:sz w:val="24"/>
          <w:szCs w:val="24"/>
        </w:rPr>
        <w:t xml:space="preserve"> a násl., zákona č. 89/2012, občanský zákoník, následující strany</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w:t>
      </w:r>
      <w:r w:rsidR="00304E4C" w:rsidRPr="00187B66">
        <w:rPr>
          <w:rFonts w:ascii="Times New Roman" w:hAnsi="Times New Roman" w:cs="Times New Roman"/>
          <w:b/>
          <w:bCs/>
          <w:sz w:val="24"/>
          <w:szCs w:val="24"/>
        </w:rPr>
        <w:t>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6E2F145F"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w:t>
      </w:r>
      <w:r w:rsidR="00EE2673">
        <w:rPr>
          <w:rFonts w:ascii="Times New Roman" w:hAnsi="Times New Roman" w:cs="Times New Roman"/>
          <w:sz w:val="24"/>
          <w:szCs w:val="24"/>
        </w:rPr>
        <w:t>Zdeňkem Vašákem</w:t>
      </w:r>
      <w:r w:rsidR="00304E4C">
        <w:rPr>
          <w:rFonts w:ascii="Times New Roman" w:hAnsi="Times New Roman" w:cs="Times New Roman"/>
          <w:sz w:val="24"/>
          <w:szCs w:val="24"/>
        </w:rPr>
        <w:t>, ředitelem organizace</w:t>
      </w:r>
      <w:r w:rsidRPr="002D37C5">
        <w:rPr>
          <w:rFonts w:ascii="Times New Roman" w:hAnsi="Times New Roman" w:cs="Times New Roman"/>
          <w:sz w:val="24"/>
          <w:szCs w:val="24"/>
        </w:rPr>
        <w:tab/>
      </w:r>
    </w:p>
    <w:p w14:paraId="3E88C84E" w14:textId="432E5691" w:rsidR="00C968D9"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8526D8">
        <w:rPr>
          <w:rFonts w:ascii="Times New Roman" w:hAnsi="Times New Roman" w:cs="Times New Roman"/>
          <w:sz w:val="24"/>
          <w:szCs w:val="24"/>
        </w:rPr>
        <w:t xml:space="preserve">, Ing. </w:t>
      </w:r>
      <w:r w:rsidR="00763383">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763383">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w:t>
      </w:r>
    </w:p>
    <w:p w14:paraId="20792D3B" w14:textId="31512BE6"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00EE2673">
        <w:rPr>
          <w:rFonts w:ascii="Times New Roman" w:hAnsi="Times New Roman" w:cs="Times New Roman"/>
          <w:sz w:val="24"/>
          <w:szCs w:val="24"/>
        </w:rPr>
        <w:t xml:space="preserve">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763383">
        <w:rPr>
          <w:rFonts w:ascii="Times New Roman" w:hAnsi="Times New Roman" w:cs="Times New Roman"/>
          <w:sz w:val="24"/>
          <w:szCs w:val="24"/>
        </w:rPr>
        <w:t>,</w:t>
      </w:r>
    </w:p>
    <w:p w14:paraId="63C9028E" w14:textId="0E465575"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E2673" w:rsidRPr="00354342">
          <w:rPr>
            <w:rStyle w:val="Hypertextovodkaz"/>
            <w:rFonts w:ascii="Times New Roman" w:hAnsi="Times New Roman" w:cs="Times New Roman"/>
            <w:sz w:val="24"/>
            <w:szCs w:val="24"/>
          </w:rPr>
          <w:t>zdenek.vasak@suspk.cz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6B43F062"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76338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296D5812"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Poskytovatel se zavazuje poskytnout Objednateli plnění</w:t>
      </w:r>
      <w:r w:rsidR="001E268F">
        <w:rPr>
          <w:rFonts w:ascii="Times New Roman" w:hAnsi="Times New Roman" w:cs="Times New Roman"/>
          <w:sz w:val="24"/>
          <w:szCs w:val="24"/>
        </w:rPr>
        <w:t xml:space="preserve"> na svůj náklad a nebezpečí</w:t>
      </w:r>
      <w:r w:rsidRPr="00555ACC">
        <w:rPr>
          <w:rFonts w:ascii="Times New Roman" w:hAnsi="Times New Roman" w:cs="Times New Roman"/>
          <w:sz w:val="24"/>
          <w:szCs w:val="24"/>
        </w:rPr>
        <w:t xml:space="preserve"> </w:t>
      </w:r>
      <w:r w:rsidR="001E268F">
        <w:rPr>
          <w:rFonts w:ascii="Times New Roman" w:hAnsi="Times New Roman" w:cs="Times New Roman"/>
          <w:sz w:val="24"/>
          <w:szCs w:val="24"/>
        </w:rPr>
        <w:t xml:space="preserve">činnosti spočívající v poskytnutí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w:t>
      </w:r>
      <w:r w:rsidR="008827B1">
        <w:rPr>
          <w:rFonts w:ascii="Times New Roman" w:hAnsi="Times New Roman" w:cs="Times New Roman"/>
          <w:sz w:val="24"/>
          <w:szCs w:val="24"/>
        </w:rPr>
        <w:t xml:space="preserve"> </w:t>
      </w:r>
      <w:r w:rsidR="003A3D70" w:rsidRPr="003A3D70">
        <w:rPr>
          <w:rFonts w:ascii="Times New Roman" w:hAnsi="Times New Roman" w:cs="Times New Roman"/>
          <w:sz w:val="24"/>
          <w:szCs w:val="24"/>
        </w:rPr>
        <w:t xml:space="preserve">Expertní odborná pomoc metodiky </w:t>
      </w:r>
      <w:r w:rsidR="004F1901">
        <w:rPr>
          <w:rFonts w:ascii="Times New Roman" w:hAnsi="Times New Roman" w:cs="Times New Roman"/>
          <w:sz w:val="24"/>
          <w:szCs w:val="24"/>
        </w:rPr>
        <w:t>„</w:t>
      </w:r>
      <w:r w:rsidR="003A3D70" w:rsidRPr="003A3D70">
        <w:rPr>
          <w:rFonts w:ascii="Times New Roman" w:hAnsi="Times New Roman" w:cs="Times New Roman"/>
          <w:sz w:val="24"/>
          <w:szCs w:val="24"/>
        </w:rPr>
        <w:t>SFDI, FIDIC a BIM</w:t>
      </w:r>
      <w:r w:rsidR="004442C8">
        <w:rPr>
          <w:rFonts w:ascii="Times New Roman" w:hAnsi="Times New Roman" w:cs="Times New Roman"/>
          <w:bCs/>
          <w:sz w:val="24"/>
          <w:szCs w:val="24"/>
        </w:rPr>
        <w:t>“</w:t>
      </w:r>
      <w:r w:rsidR="004442C8">
        <w:rPr>
          <w:rFonts w:ascii="Times New Roman" w:hAnsi="Times New Roman" w:cs="Times New Roman"/>
          <w:sz w:val="24"/>
          <w:szCs w:val="24"/>
        </w:rPr>
        <w:t xml:space="preserve"> </w:t>
      </w:r>
      <w:r>
        <w:rPr>
          <w:rFonts w:ascii="Times New Roman" w:hAnsi="Times New Roman" w:cs="Times New Roman"/>
          <w:sz w:val="24"/>
          <w:szCs w:val="24"/>
        </w:rPr>
        <w:t>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A8988E"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 xml:space="preserve">poskytnout Objednateli </w:t>
      </w:r>
      <w:r w:rsidR="003A3D70">
        <w:rPr>
          <w:rFonts w:ascii="Times New Roman" w:hAnsi="Times New Roman" w:cs="Times New Roman"/>
          <w:sz w:val="24"/>
          <w:szCs w:val="24"/>
        </w:rPr>
        <w:t xml:space="preserve">uvedené </w:t>
      </w:r>
      <w:r w:rsidRPr="005B19E2">
        <w:rPr>
          <w:rFonts w:ascii="Times New Roman" w:hAnsi="Times New Roman" w:cs="Times New Roman"/>
          <w:sz w:val="24"/>
          <w:szCs w:val="24"/>
        </w:rPr>
        <w:t>Služby</w:t>
      </w:r>
      <w:r w:rsidR="00304E4C" w:rsidRPr="00304E4C">
        <w:rPr>
          <w:rFonts w:ascii="Times New Roman" w:hAnsi="Times New Roman" w:cs="Times New Roman"/>
          <w:sz w:val="24"/>
          <w:szCs w:val="24"/>
        </w:rPr>
        <w:t>.</w:t>
      </w:r>
      <w:r w:rsidRPr="00304E4C">
        <w:rPr>
          <w:rFonts w:ascii="Times New Roman" w:hAnsi="Times New Roman" w:cs="Times New Roman"/>
          <w:sz w:val="24"/>
          <w:szCs w:val="24"/>
        </w:rPr>
        <w:t xml:space="preserve"> Výstupy služeb Poskytovatel předá Objednateli </w:t>
      </w:r>
      <w:r w:rsidR="00CD3056">
        <w:rPr>
          <w:rFonts w:ascii="Times New Roman" w:hAnsi="Times New Roman" w:cs="Times New Roman"/>
          <w:sz w:val="24"/>
          <w:szCs w:val="24"/>
        </w:rPr>
        <w:t xml:space="preserve">elektronicky </w:t>
      </w:r>
      <w:r w:rsidR="003A3D70">
        <w:rPr>
          <w:rFonts w:ascii="Times New Roman" w:hAnsi="Times New Roman" w:cs="Times New Roman"/>
          <w:sz w:val="24"/>
          <w:szCs w:val="24"/>
        </w:rPr>
        <w:t xml:space="preserve">formou e-mailové komunikace </w:t>
      </w:r>
      <w:r w:rsidRPr="00304E4C">
        <w:rPr>
          <w:rFonts w:ascii="Times New Roman" w:hAnsi="Times New Roman" w:cs="Times New Roman"/>
          <w:sz w:val="24"/>
          <w:szCs w:val="24"/>
        </w:rPr>
        <w:t xml:space="preserve">na </w:t>
      </w:r>
      <w:proofErr w:type="gramStart"/>
      <w:r w:rsidRPr="00304E4C">
        <w:rPr>
          <w:rFonts w:ascii="Times New Roman" w:hAnsi="Times New Roman" w:cs="Times New Roman"/>
          <w:sz w:val="24"/>
          <w:szCs w:val="24"/>
        </w:rPr>
        <w:t xml:space="preserve">adrese: </w:t>
      </w:r>
      <w:r w:rsidR="004F1901">
        <w:rPr>
          <w:rFonts w:ascii="Times New Roman" w:hAnsi="Times New Roman" w:cs="Times New Roman"/>
          <w:sz w:val="24"/>
          <w:szCs w:val="24"/>
        </w:rPr>
        <w:t xml:space="preserve"> Je</w:t>
      </w:r>
      <w:proofErr w:type="gramEnd"/>
      <w:r w:rsidR="004F1901">
        <w:rPr>
          <w:rFonts w:ascii="Times New Roman" w:hAnsi="Times New Roman" w:cs="Times New Roman"/>
          <w:sz w:val="24"/>
          <w:szCs w:val="24"/>
        </w:rPr>
        <w:t xml:space="preserve"> potřebné vyplnit email </w:t>
      </w:r>
      <w:r w:rsidR="009744BC">
        <w:rPr>
          <w:rFonts w:ascii="Times New Roman" w:hAnsi="Times New Roman" w:cs="Times New Roman"/>
          <w:sz w:val="24"/>
          <w:szCs w:val="24"/>
        </w:rPr>
        <w:t>konkrétně</w:t>
      </w:r>
      <w:r w:rsidR="004F1901">
        <w:rPr>
          <w:rFonts w:ascii="Times New Roman" w:hAnsi="Times New Roman" w:cs="Times New Roman"/>
          <w:sz w:val="24"/>
          <w:szCs w:val="24"/>
        </w:rPr>
        <w:t>.</w:t>
      </w:r>
    </w:p>
    <w:p w14:paraId="62EE1597" w14:textId="5DF146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w:t>
      </w:r>
      <w:r w:rsidR="004F1901">
        <w:rPr>
          <w:rFonts w:ascii="Times New Roman" w:hAnsi="Times New Roman" w:cs="Times New Roman"/>
          <w:sz w:val="24"/>
          <w:szCs w:val="24"/>
        </w:rPr>
        <w:t xml:space="preserve">odst. 1. </w:t>
      </w:r>
      <w:r w:rsidRPr="00555ACC">
        <w:rPr>
          <w:rFonts w:ascii="Times New Roman" w:hAnsi="Times New Roman" w:cs="Times New Roman"/>
          <w:sz w:val="24"/>
          <w:szCs w:val="24"/>
        </w:rPr>
        <w:t>této Smlouvy.</w:t>
      </w:r>
    </w:p>
    <w:p w14:paraId="62BF3E62" w14:textId="5BF7451B"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 xml:space="preserve">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w:t>
      </w:r>
      <w:r w:rsidR="00CD3056">
        <w:rPr>
          <w:rFonts w:ascii="Times New Roman" w:hAnsi="Times New Roman" w:cs="Times New Roman"/>
          <w:sz w:val="24"/>
          <w:szCs w:val="24"/>
        </w:rPr>
        <w:t xml:space="preserve">odst.1 </w:t>
      </w:r>
      <w:r w:rsidRPr="00890C04">
        <w:rPr>
          <w:rFonts w:ascii="Times New Roman" w:hAnsi="Times New Roman" w:cs="Times New Roman"/>
          <w:sz w:val="24"/>
          <w:szCs w:val="24"/>
        </w:rPr>
        <w:t>Smlouvy.</w:t>
      </w:r>
    </w:p>
    <w:p w14:paraId="6E3BB62A" w14:textId="7DEA7AAA" w:rsidR="00194DFD"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r w:rsidR="001E268F">
        <w:rPr>
          <w:rFonts w:ascii="Times New Roman" w:hAnsi="Times New Roman" w:cs="Times New Roman"/>
          <w:sz w:val="24"/>
          <w:szCs w:val="24"/>
        </w:rPr>
        <w:t xml:space="preserve"> </w:t>
      </w:r>
      <w:r w:rsidR="00194DFD">
        <w:rPr>
          <w:rFonts w:ascii="Times New Roman" w:hAnsi="Times New Roman" w:cs="Times New Roman"/>
          <w:sz w:val="24"/>
          <w:szCs w:val="24"/>
        </w:rPr>
        <w:t>Objednatel má právo kontrolovat poskytování Služby a požadovat po Poskytovateli prokázání skutečného stavu poskytování Služby kdykoliv v průběhu trvání této Smlouvy.</w:t>
      </w:r>
    </w:p>
    <w:p w14:paraId="5DC93175" w14:textId="516D6EAD" w:rsidR="00C968D9" w:rsidRDefault="001E268F"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Pr>
          <w:rFonts w:ascii="Times New Roman" w:hAnsi="Times New Roman" w:cs="Times New Roman"/>
          <w:sz w:val="24"/>
          <w:szCs w:val="24"/>
        </w:rPr>
        <w:t>Poskytovatel se zavazuje opatřit vše, co je zapotřebí k poskytnutí Služby podle této Smlouvy. Poskytovatel je vázán příkazy Objednavatele ohledně způsobu poskytnutí Služby.</w:t>
      </w:r>
      <w:r w:rsidR="00194DFD">
        <w:rPr>
          <w:rFonts w:ascii="Times New Roman" w:hAnsi="Times New Roman" w:cs="Times New Roman"/>
          <w:sz w:val="24"/>
          <w:szCs w:val="24"/>
        </w:rPr>
        <w:t xml:space="preserve"> </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0C293CFE"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0FACC70E"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r w:rsidR="007A7B51">
        <w:rPr>
          <w:rFonts w:ascii="Times New Roman" w:hAnsi="Times New Roman" w:cs="Times New Roman"/>
          <w:b/>
          <w:sz w:val="24"/>
          <w:szCs w:val="24"/>
        </w:rPr>
        <w:t xml:space="preserve"> a místo plnění</w:t>
      </w:r>
    </w:p>
    <w:p w14:paraId="168E527B" w14:textId="2515961F" w:rsidR="00C968D9" w:rsidRPr="007A7B51"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w:t>
      </w:r>
      <w:r w:rsidR="003A3D70">
        <w:rPr>
          <w:rFonts w:ascii="Times New Roman" w:hAnsi="Times New Roman" w:cs="Times New Roman"/>
          <w:sz w:val="24"/>
          <w:szCs w:val="24"/>
        </w:rPr>
        <w:t xml:space="preserve"> elektronické</w:t>
      </w:r>
      <w:r w:rsidR="005F6C91">
        <w:rPr>
          <w:rFonts w:ascii="Times New Roman" w:hAnsi="Times New Roman" w:cs="Times New Roman"/>
          <w:sz w:val="24"/>
          <w:szCs w:val="24"/>
        </w:rPr>
        <w:t xml:space="preserve"> výzvy</w:t>
      </w:r>
      <w:r w:rsidR="003A3D70">
        <w:rPr>
          <w:rFonts w:ascii="Times New Roman" w:hAnsi="Times New Roman" w:cs="Times New Roman"/>
          <w:sz w:val="24"/>
          <w:szCs w:val="24"/>
        </w:rPr>
        <w:t xml:space="preserve"> (e-mail)</w:t>
      </w:r>
      <w:r w:rsidR="005F6C91">
        <w:rPr>
          <w:rFonts w:ascii="Times New Roman" w:hAnsi="Times New Roman" w:cs="Times New Roman"/>
          <w:sz w:val="24"/>
          <w:szCs w:val="24"/>
        </w:rPr>
        <w:t xml:space="preserve"> </w:t>
      </w:r>
      <w:r w:rsidR="004F1901">
        <w:rPr>
          <w:rFonts w:ascii="Times New Roman" w:hAnsi="Times New Roman" w:cs="Times New Roman"/>
          <w:sz w:val="24"/>
          <w:szCs w:val="24"/>
        </w:rPr>
        <w:t>O</w:t>
      </w:r>
      <w:r w:rsidR="005F6C91">
        <w:rPr>
          <w:rFonts w:ascii="Times New Roman" w:hAnsi="Times New Roman" w:cs="Times New Roman"/>
          <w:sz w:val="24"/>
          <w:szCs w:val="24"/>
        </w:rPr>
        <w:t>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CD3056">
        <w:rPr>
          <w:rFonts w:ascii="Times New Roman" w:hAnsi="Times New Roman" w:cs="Times New Roman"/>
          <w:sz w:val="24"/>
          <w:szCs w:val="24"/>
        </w:rPr>
        <w:t>na</w:t>
      </w:r>
      <w:r w:rsidR="001931E1">
        <w:rPr>
          <w:rFonts w:ascii="Times New Roman" w:hAnsi="Times New Roman" w:cs="Times New Roman"/>
          <w:sz w:val="24"/>
          <w:szCs w:val="24"/>
        </w:rPr>
        <w:t xml:space="preserve"> </w:t>
      </w:r>
      <w:r w:rsidR="004442C8">
        <w:rPr>
          <w:rFonts w:ascii="Times New Roman" w:hAnsi="Times New Roman" w:cs="Times New Roman"/>
          <w:sz w:val="24"/>
          <w:szCs w:val="24"/>
        </w:rPr>
        <w:t>24</w:t>
      </w:r>
      <w:r w:rsidR="00F84207" w:rsidRPr="00F84207">
        <w:rPr>
          <w:rFonts w:ascii="Times New Roman" w:hAnsi="Times New Roman" w:cs="Times New Roman"/>
          <w:bCs/>
          <w:iCs/>
          <w:sz w:val="24"/>
          <w:szCs w:val="24"/>
        </w:rPr>
        <w:t xml:space="preserve"> měsíců</w:t>
      </w:r>
      <w:r w:rsidR="003A3D70">
        <w:rPr>
          <w:rFonts w:ascii="Times New Roman" w:hAnsi="Times New Roman" w:cs="Times New Roman"/>
          <w:bCs/>
          <w:iCs/>
          <w:sz w:val="24"/>
          <w:szCs w:val="24"/>
        </w:rPr>
        <w:t xml:space="preserve"> nebo vyčerpáním smluvní částky</w:t>
      </w:r>
      <w:r w:rsidR="00F84207" w:rsidRPr="00F84207">
        <w:rPr>
          <w:rFonts w:ascii="Times New Roman" w:hAnsi="Times New Roman" w:cs="Times New Roman"/>
          <w:bCs/>
          <w:iCs/>
          <w:sz w:val="24"/>
          <w:szCs w:val="24"/>
        </w:rPr>
        <w:t>.</w:t>
      </w:r>
    </w:p>
    <w:p w14:paraId="3AFA7B46" w14:textId="34F4CE47" w:rsidR="007A7B51" w:rsidRPr="00F84207" w:rsidRDefault="007A7B51" w:rsidP="005C384A">
      <w:pPr>
        <w:pStyle w:val="Odstavecseseznamem"/>
        <w:numPr>
          <w:ilvl w:val="0"/>
          <w:numId w:val="5"/>
        </w:numPr>
        <w:spacing w:before="120" w:after="120" w:line="276" w:lineRule="auto"/>
        <w:jc w:val="both"/>
        <w:rPr>
          <w:rFonts w:ascii="Times New Roman" w:hAnsi="Times New Roman" w:cs="Times New Roman"/>
          <w:sz w:val="24"/>
          <w:szCs w:val="24"/>
        </w:rPr>
      </w:pPr>
      <w:r>
        <w:rPr>
          <w:rFonts w:ascii="Times New Roman" w:hAnsi="Times New Roman" w:cs="Times New Roman"/>
          <w:bCs/>
          <w:iCs/>
          <w:sz w:val="24"/>
          <w:szCs w:val="24"/>
        </w:rPr>
        <w:t xml:space="preserve">Místem plnění Služby </w:t>
      </w:r>
      <w:proofErr w:type="gramStart"/>
      <w:r>
        <w:rPr>
          <w:rFonts w:ascii="Times New Roman" w:hAnsi="Times New Roman" w:cs="Times New Roman"/>
          <w:bCs/>
          <w:iCs/>
          <w:sz w:val="24"/>
          <w:szCs w:val="24"/>
        </w:rPr>
        <w:t xml:space="preserve">bude:  </w:t>
      </w:r>
      <w:r w:rsidR="004338F0">
        <w:rPr>
          <w:rFonts w:ascii="Times New Roman" w:hAnsi="Times New Roman" w:cs="Times New Roman"/>
          <w:bCs/>
          <w:iCs/>
          <w:sz w:val="24"/>
          <w:szCs w:val="24"/>
        </w:rPr>
        <w:t>Pardubický</w:t>
      </w:r>
      <w:proofErr w:type="gramEnd"/>
      <w:r w:rsidR="004338F0">
        <w:rPr>
          <w:rFonts w:ascii="Times New Roman" w:hAnsi="Times New Roman" w:cs="Times New Roman"/>
          <w:bCs/>
          <w:iCs/>
          <w:sz w:val="24"/>
          <w:szCs w:val="24"/>
        </w:rPr>
        <w:t xml:space="preserve"> kraj</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482CDF6E"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Služeb Objednateli</w:t>
      </w:r>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proofErr w:type="gramStart"/>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 Kč</w:t>
      </w:r>
      <w:proofErr w:type="gramEnd"/>
      <w:r w:rsidRPr="006306E5">
        <w:rPr>
          <w:rFonts w:ascii="Times New Roman" w:hAnsi="Times New Roman" w:cs="Times New Roman"/>
          <w:sz w:val="24"/>
          <w:szCs w:val="24"/>
        </w:rPr>
        <w:t xml:space="preserve">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bookmarkStart w:id="5" w:name="_Hlk179969907"/>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bookmarkEnd w:id="5"/>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38F7CA11"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w:t>
      </w:r>
      <w:proofErr w:type="gramStart"/>
      <w:r w:rsidRPr="002D37C5">
        <w:rPr>
          <w:rFonts w:ascii="Times New Roman" w:hAnsi="Times New Roman" w:cs="Times New Roman"/>
          <w:sz w:val="24"/>
          <w:szCs w:val="24"/>
        </w:rPr>
        <w:t>s</w:t>
      </w:r>
      <w:r>
        <w:rPr>
          <w:rFonts w:ascii="Times New Roman" w:hAnsi="Times New Roman" w:cs="Times New Roman"/>
          <w:sz w:val="24"/>
          <w:szCs w:val="24"/>
        </w:rPr>
        <w:t>e</w:t>
      </w:r>
      <w:proofErr w:type="gramEnd"/>
      <w:r>
        <w:rPr>
          <w:rFonts w:ascii="Times New Roman" w:hAnsi="Times New Roman" w:cs="Times New Roman"/>
          <w:sz w:val="24"/>
          <w:szCs w:val="24"/>
        </w:rPr>
        <w:t xml:space="preserve"> </w:t>
      </w:r>
      <w:r w:rsidRPr="002D37C5">
        <w:rPr>
          <w:rFonts w:ascii="Times New Roman" w:hAnsi="Times New Roman" w:cs="Times New Roman"/>
          <w:sz w:val="24"/>
          <w:szCs w:val="24"/>
        </w:rPr>
        <w:t xml:space="preserve">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w:t>
      </w:r>
      <w:r w:rsidR="00A9772E">
        <w:rPr>
          <w:rFonts w:ascii="Times New Roman" w:hAnsi="Times New Roman" w:cs="Times New Roman"/>
          <w:sz w:val="24"/>
          <w:szCs w:val="24"/>
        </w:rPr>
        <w:t xml:space="preserve"> V pochybnostech se má za to, že faktura byla doručena 3 den po </w:t>
      </w:r>
      <w:r w:rsidR="007D674A">
        <w:rPr>
          <w:rFonts w:ascii="Times New Roman" w:hAnsi="Times New Roman" w:cs="Times New Roman"/>
          <w:sz w:val="24"/>
          <w:szCs w:val="24"/>
        </w:rPr>
        <w:t>o</w:t>
      </w:r>
      <w:r w:rsidR="00A9772E">
        <w:rPr>
          <w:rFonts w:ascii="Times New Roman" w:hAnsi="Times New Roman" w:cs="Times New Roman"/>
          <w:sz w:val="24"/>
          <w:szCs w:val="24"/>
        </w:rPr>
        <w:t>deslání.</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0998F43B" w14:textId="77777777" w:rsidR="00187B66" w:rsidRDefault="00187B66" w:rsidP="00187B66">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vše v platném znění</w:t>
      </w:r>
      <w:r w:rsidRPr="00782411">
        <w:rPr>
          <w:rFonts w:ascii="Times New Roman" w:hAnsi="Times New Roman" w:cs="Times New Roman"/>
          <w:sz w:val="24"/>
          <w:szCs w:val="24"/>
        </w:rPr>
        <w:t>.</w:t>
      </w:r>
      <w:r>
        <w:rPr>
          <w:rFonts w:ascii="Times New Roman" w:hAnsi="Times New Roman" w:cs="Times New Roman"/>
          <w:sz w:val="24"/>
          <w:szCs w:val="24"/>
        </w:rPr>
        <w:t xml:space="preserve"> Faktura dále musí obsahovat číslo Smlouvy, název Zakázky, Evidenční číslo </w:t>
      </w:r>
      <w:r w:rsidRPr="0050029B">
        <w:rPr>
          <w:rFonts w:ascii="Times New Roman" w:hAnsi="Times New Roman" w:cs="Times New Roman"/>
          <w:sz w:val="24"/>
          <w:szCs w:val="24"/>
        </w:rPr>
        <w:t>(včetně názvu obchodní firmy, sídla a čísla a OV2 smlouvy objednatele). Pokud faktura nebude obsahovat všechny</w:t>
      </w:r>
      <w:r w:rsidRPr="00A77446">
        <w:rPr>
          <w:rFonts w:ascii="Times New Roman" w:hAnsi="Times New Roman" w:cs="Times New Roman"/>
          <w:sz w:val="24"/>
          <w:szCs w:val="24"/>
        </w:rPr>
        <w:t xml:space="preserve">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BDE32BC" w14:textId="77777777" w:rsidR="00187B66" w:rsidRDefault="00187B66" w:rsidP="00187B66">
      <w:pPr>
        <w:pStyle w:val="Seznamoslovan"/>
        <w:spacing w:line="240" w:lineRule="auto"/>
        <w:ind w:left="360" w:firstLine="0"/>
        <w:jc w:val="both"/>
        <w:rPr>
          <w:sz w:val="20"/>
          <w:szCs w:val="20"/>
          <w:u w:val="single"/>
        </w:rPr>
      </w:pPr>
    </w:p>
    <w:p w14:paraId="264D22B7" w14:textId="77777777" w:rsidR="00187B66" w:rsidRDefault="00187B66" w:rsidP="00187B66">
      <w:pPr>
        <w:pStyle w:val="Seznamoslovan"/>
        <w:spacing w:line="240" w:lineRule="auto"/>
        <w:ind w:left="360" w:firstLine="0"/>
        <w:jc w:val="both"/>
        <w:rPr>
          <w:rFonts w:ascii="Times New Roman" w:hAnsi="Times New Roman" w:cs="Times New Roman"/>
          <w:sz w:val="24"/>
          <w:szCs w:val="24"/>
        </w:rPr>
      </w:pPr>
      <w:r w:rsidRPr="0050029B">
        <w:rPr>
          <w:rFonts w:ascii="Times New Roman" w:hAnsi="Times New Roman" w:cs="Times New Roman"/>
          <w:sz w:val="24"/>
          <w:szCs w:val="24"/>
          <w:u w:val="single"/>
        </w:rPr>
        <w:t>Adresou pro doručení faktury</w:t>
      </w:r>
      <w:r w:rsidRPr="0050029B">
        <w:rPr>
          <w:rFonts w:ascii="Times New Roman" w:hAnsi="Times New Roman" w:cs="Times New Roman"/>
          <w:sz w:val="24"/>
          <w:szCs w:val="24"/>
        </w:rPr>
        <w:t xml:space="preserve"> je e-mail </w:t>
      </w:r>
      <w:r>
        <w:rPr>
          <w:rFonts w:ascii="Times New Roman" w:hAnsi="Times New Roman" w:cs="Times New Roman"/>
          <w:sz w:val="24"/>
          <w:szCs w:val="24"/>
        </w:rPr>
        <w:t>objednatele</w:t>
      </w:r>
      <w:r w:rsidRPr="0050029B">
        <w:rPr>
          <w:rFonts w:ascii="Times New Roman" w:hAnsi="Times New Roman" w:cs="Times New Roman"/>
          <w:sz w:val="24"/>
          <w:szCs w:val="24"/>
        </w:rPr>
        <w:t xml:space="preserve">: </w:t>
      </w:r>
      <w:hyperlink r:id="rId13" w:history="1">
        <w:r w:rsidRPr="0050029B">
          <w:rPr>
            <w:rStyle w:val="Hypertextovodkaz"/>
            <w:rFonts w:ascii="Times New Roman" w:hAnsi="Times New Roman" w:cs="Times New Roman"/>
            <w:sz w:val="24"/>
            <w:szCs w:val="24"/>
          </w:rPr>
          <w:t>fakturace.tu@suspk.cz</w:t>
        </w:r>
      </w:hyperlink>
      <w:r w:rsidRPr="0050029B">
        <w:rPr>
          <w:rFonts w:ascii="Times New Roman" w:hAnsi="Times New Roman" w:cs="Times New Roman"/>
          <w:sz w:val="24"/>
          <w:szCs w:val="24"/>
        </w:rPr>
        <w:t xml:space="preserve"> </w:t>
      </w:r>
    </w:p>
    <w:p w14:paraId="768432BF" w14:textId="795BCE72" w:rsidR="00C968D9" w:rsidRDefault="00C968D9" w:rsidP="00187B66">
      <w:pPr>
        <w:pStyle w:val="Odstavecseseznamem"/>
        <w:spacing w:before="120" w:after="120" w:line="23" w:lineRule="atLeast"/>
        <w:ind w:left="357"/>
        <w:contextualSpacing w:val="0"/>
        <w:jc w:val="both"/>
        <w:rPr>
          <w:rFonts w:ascii="Times New Roman" w:hAnsi="Times New Roman" w:cs="Times New Roman"/>
          <w:sz w:val="24"/>
          <w:szCs w:val="24"/>
        </w:rPr>
      </w:pP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2184976"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r w:rsidR="00FC6FDC">
        <w:rPr>
          <w:rFonts w:ascii="Times New Roman" w:hAnsi="Times New Roman" w:cs="Times New Roman"/>
          <w:sz w:val="24"/>
          <w:szCs w:val="24"/>
        </w:rPr>
        <w:t xml:space="preserve"> Uplatnění vady Objednavatelem nevyžaduje žádnou formální stránku.</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398FFDC3"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1E231CE6" w14:textId="7E1F49E4" w:rsidR="007C10CB" w:rsidRDefault="007C10CB" w:rsidP="007C10CB">
      <w:pPr>
        <w:pStyle w:val="Odstavecseseznamem"/>
        <w:numPr>
          <w:ilvl w:val="0"/>
          <w:numId w:val="2"/>
        </w:numPr>
        <w:rPr>
          <w:rFonts w:ascii="Times New Roman" w:hAnsi="Times New Roman" w:cs="Times New Roman"/>
          <w:color w:val="000000"/>
          <w:sz w:val="24"/>
          <w:szCs w:val="24"/>
        </w:rPr>
      </w:pPr>
      <w:r w:rsidRPr="007D674A">
        <w:rPr>
          <w:rFonts w:ascii="Times New Roman" w:hAnsi="Times New Roman" w:cs="Times New Roman"/>
          <w:color w:val="000000"/>
          <w:sz w:val="24"/>
          <w:szCs w:val="24"/>
          <w:u w:val="single"/>
        </w:rPr>
        <w:t>Objednatel</w:t>
      </w:r>
      <w:r w:rsidRPr="007D674A">
        <w:rPr>
          <w:rFonts w:ascii="Times New Roman" w:hAnsi="Times New Roman" w:cs="Times New Roman"/>
          <w:color w:val="000000"/>
          <w:sz w:val="24"/>
          <w:szCs w:val="24"/>
        </w:rPr>
        <w:t xml:space="preserve"> je oprávněn písemně odstoupit od Smlouvy v případě, že nebude mít finanční prostředky pro pokračování realizace Služby. V tomto případě má Poskytovatel nárok, na zaplacení poměrné části ceny odpovídající rozsahu provedené Služby.</w:t>
      </w:r>
    </w:p>
    <w:p w14:paraId="1979241B" w14:textId="77777777" w:rsidR="007C10CB" w:rsidRPr="007D674A" w:rsidRDefault="007C10CB" w:rsidP="007D674A">
      <w:pPr>
        <w:pStyle w:val="Odstavecseseznamem"/>
        <w:ind w:left="360"/>
        <w:rPr>
          <w:rFonts w:ascii="Times New Roman" w:hAnsi="Times New Roman" w:cs="Times New Roman"/>
          <w:color w:val="000000"/>
          <w:sz w:val="24"/>
          <w:szCs w:val="24"/>
        </w:rPr>
      </w:pP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1E2D72C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21A86DFB" w14:textId="77777777" w:rsidR="00CD3056" w:rsidRDefault="00CD3056" w:rsidP="00474C3B">
      <w:pPr>
        <w:spacing w:before="120" w:after="120" w:line="23" w:lineRule="atLeast"/>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0D516694" w14:textId="2BCAE065" w:rsidR="00CD3056" w:rsidRPr="00984183" w:rsidRDefault="00CD3056"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prohlašují, že žádná část smlouvy nenaplňuje znaky obchodního tajemství. Poskytovatel souhlasí se zpracováním svých ve smlouvě uvedených, osobních údajů, konkrétně s jejich zveřejněním v registru smluv Objednatelem. Souhlas uděluje smluvní strana na dobu neurčitou. Osobní údaje poskytuje dobrovolně.</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B7DAB95" w:rsidR="00C968D9" w:rsidRDefault="00C968D9"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r w:rsidR="00146844">
        <w:rPr>
          <w:rFonts w:ascii="Times New Roman" w:hAnsi="Times New Roman" w:cs="Times New Roman"/>
          <w:sz w:val="24"/>
          <w:szCs w:val="24"/>
        </w:rPr>
        <w:t xml:space="preserve"> Strany se dohodly, že </w:t>
      </w:r>
      <w:r w:rsidR="0019477B">
        <w:rPr>
          <w:rFonts w:ascii="Times New Roman" w:hAnsi="Times New Roman" w:cs="Times New Roman"/>
          <w:sz w:val="24"/>
          <w:szCs w:val="24"/>
        </w:rPr>
        <w:t>S</w:t>
      </w:r>
      <w:r w:rsidR="00146844">
        <w:rPr>
          <w:rFonts w:ascii="Times New Roman" w:hAnsi="Times New Roman" w:cs="Times New Roman"/>
          <w:sz w:val="24"/>
          <w:szCs w:val="24"/>
        </w:rPr>
        <w:t xml:space="preserve">mlouvu zveřejní </w:t>
      </w:r>
      <w:r w:rsidR="00CE7AEE">
        <w:rPr>
          <w:rFonts w:ascii="Times New Roman" w:hAnsi="Times New Roman" w:cs="Times New Roman"/>
          <w:sz w:val="24"/>
          <w:szCs w:val="24"/>
        </w:rPr>
        <w:t>O</w:t>
      </w:r>
      <w:r w:rsidR="00146844">
        <w:rPr>
          <w:rFonts w:ascii="Times New Roman" w:hAnsi="Times New Roman" w:cs="Times New Roman"/>
          <w:sz w:val="24"/>
          <w:szCs w:val="24"/>
        </w:rPr>
        <w:t>bjednatel.</w:t>
      </w:r>
    </w:p>
    <w:p w14:paraId="39AB263A" w14:textId="1F2C6CE4" w:rsidR="00C968D9" w:rsidRDefault="00C968D9" w:rsidP="00146E80">
      <w:pPr>
        <w:pStyle w:val="Odstavecseseznamem"/>
        <w:numPr>
          <w:ilvl w:val="0"/>
          <w:numId w:val="23"/>
        </w:numPr>
        <w:spacing w:after="0" w:line="240" w:lineRule="auto"/>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4442C8">
        <w:rPr>
          <w:rFonts w:ascii="Times New Roman" w:hAnsi="Times New Roman" w:cs="Times New Roman"/>
          <w:sz w:val="24"/>
          <w:szCs w:val="24"/>
        </w:rPr>
        <w:t>24</w:t>
      </w:r>
      <w:r w:rsidR="00EF6F12" w:rsidRPr="00E44F0E">
        <w:rPr>
          <w:rFonts w:ascii="Times New Roman" w:hAnsi="Times New Roman" w:cs="Times New Roman"/>
          <w:sz w:val="24"/>
          <w:szCs w:val="24"/>
        </w:rPr>
        <w:t xml:space="preserve"> měsíců</w:t>
      </w:r>
      <w:r w:rsidR="003A3D70">
        <w:rPr>
          <w:rFonts w:ascii="Times New Roman" w:hAnsi="Times New Roman" w:cs="Times New Roman"/>
          <w:sz w:val="24"/>
          <w:szCs w:val="24"/>
        </w:rPr>
        <w:t xml:space="preserve"> nebo vyčerpáním smluvní částky</w:t>
      </w:r>
      <w:r w:rsidRPr="008526D8">
        <w:rPr>
          <w:rFonts w:ascii="Times New Roman" w:hAnsi="Times New Roman" w:cs="Times New Roman"/>
          <w:sz w:val="24"/>
          <w:szCs w:val="24"/>
        </w:rPr>
        <w:t xml:space="preserve"> a skončí řádným a úplným splněním předmětu </w:t>
      </w:r>
      <w:r w:rsidR="0019477B">
        <w:rPr>
          <w:rFonts w:ascii="Times New Roman" w:hAnsi="Times New Roman" w:cs="Times New Roman"/>
          <w:bCs/>
          <w:iCs/>
          <w:sz w:val="24"/>
          <w:szCs w:val="24"/>
        </w:rPr>
        <w:t>S</w:t>
      </w:r>
      <w:r w:rsidR="008526D8" w:rsidRPr="008526D8">
        <w:rPr>
          <w:rFonts w:ascii="Times New Roman" w:hAnsi="Times New Roman" w:cs="Times New Roman"/>
          <w:bCs/>
          <w:iCs/>
          <w:sz w:val="24"/>
          <w:szCs w:val="24"/>
        </w:rPr>
        <w:t>mlouvy</w:t>
      </w:r>
      <w:r w:rsidRPr="008526D8">
        <w:rPr>
          <w:rFonts w:ascii="Times New Roman" w:hAnsi="Times New Roman" w:cs="Times New Roman"/>
          <w:sz w:val="24"/>
          <w:szCs w:val="24"/>
        </w:rPr>
        <w:t>.</w:t>
      </w:r>
    </w:p>
    <w:p w14:paraId="75E64FEA" w14:textId="5F95EE00" w:rsidR="00C968D9" w:rsidRDefault="00C968D9"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w:t>
      </w:r>
      <w:r w:rsidR="0019477B" w:rsidRPr="007D674A">
        <w:rPr>
          <w:rFonts w:ascii="Times New Roman" w:hAnsi="Times New Roman" w:cs="Times New Roman"/>
          <w:sz w:val="24"/>
          <w:szCs w:val="24"/>
        </w:rPr>
        <w:t>podepsaných oběma smluvními stranami</w:t>
      </w:r>
      <w:r w:rsidR="0019477B" w:rsidRPr="00782411">
        <w:rPr>
          <w:rFonts w:ascii="Times New Roman" w:hAnsi="Times New Roman" w:cs="Times New Roman"/>
          <w:sz w:val="24"/>
          <w:szCs w:val="24"/>
        </w:rPr>
        <w:t xml:space="preserve"> </w:t>
      </w:r>
      <w:r w:rsidRPr="00782411">
        <w:rPr>
          <w:rFonts w:ascii="Times New Roman" w:hAnsi="Times New Roman" w:cs="Times New Roman"/>
          <w:sz w:val="24"/>
          <w:szCs w:val="24"/>
        </w:rPr>
        <w:t>uzavřených v </w:t>
      </w:r>
      <w:r w:rsidR="00146844">
        <w:rPr>
          <w:rFonts w:ascii="Times New Roman" w:hAnsi="Times New Roman" w:cs="Times New Roman"/>
          <w:sz w:val="24"/>
          <w:szCs w:val="24"/>
        </w:rPr>
        <w:t>elektronické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5DC99E90" w14:textId="6B76112B" w:rsidR="00EC6A2F" w:rsidRDefault="00EC6A2F"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Pokud </w:t>
      </w:r>
      <w:r w:rsidR="00146E80">
        <w:rPr>
          <w:rFonts w:ascii="Times New Roman" w:hAnsi="Times New Roman" w:cs="Times New Roman"/>
          <w:sz w:val="24"/>
          <w:szCs w:val="24"/>
        </w:rPr>
        <w:t xml:space="preserve">oddělitelné ustanovení </w:t>
      </w:r>
      <w:r w:rsidR="00816B9B">
        <w:rPr>
          <w:rFonts w:ascii="Times New Roman" w:hAnsi="Times New Roman" w:cs="Times New Roman"/>
          <w:sz w:val="24"/>
          <w:szCs w:val="24"/>
        </w:rPr>
        <w:t xml:space="preserve">této </w:t>
      </w:r>
      <w:r w:rsidR="0019477B">
        <w:rPr>
          <w:rFonts w:ascii="Times New Roman" w:hAnsi="Times New Roman" w:cs="Times New Roman"/>
          <w:sz w:val="24"/>
          <w:szCs w:val="24"/>
        </w:rPr>
        <w:t>S</w:t>
      </w:r>
      <w:r w:rsidR="00146E80">
        <w:rPr>
          <w:rFonts w:ascii="Times New Roman" w:hAnsi="Times New Roman" w:cs="Times New Roman"/>
          <w:sz w:val="24"/>
          <w:szCs w:val="24"/>
        </w:rPr>
        <w:t xml:space="preserve">mlouvy je nebo nastane neplatným či nevynutitelným, nemá to vliv na platnost zbývajících ustanovení této </w:t>
      </w:r>
      <w:r w:rsidR="0019477B">
        <w:rPr>
          <w:rFonts w:ascii="Times New Roman" w:hAnsi="Times New Roman" w:cs="Times New Roman"/>
          <w:sz w:val="24"/>
          <w:szCs w:val="24"/>
        </w:rPr>
        <w:t>S</w:t>
      </w:r>
      <w:r w:rsidR="00146E80">
        <w:rPr>
          <w:rFonts w:ascii="Times New Roman" w:hAnsi="Times New Roman" w:cs="Times New Roman"/>
          <w:sz w:val="24"/>
          <w:szCs w:val="24"/>
        </w:rPr>
        <w:t xml:space="preserve">mlouvy. V takovém případě se strany této </w:t>
      </w:r>
      <w:r w:rsidR="0019477B">
        <w:rPr>
          <w:rFonts w:ascii="Times New Roman" w:hAnsi="Times New Roman" w:cs="Times New Roman"/>
          <w:sz w:val="24"/>
          <w:szCs w:val="24"/>
        </w:rPr>
        <w:t>S</w:t>
      </w:r>
      <w:r w:rsidR="00146E80">
        <w:rPr>
          <w:rFonts w:ascii="Times New Roman" w:hAnsi="Times New Roman" w:cs="Times New Roman"/>
          <w:sz w:val="24"/>
          <w:szCs w:val="24"/>
        </w:rPr>
        <w:t xml:space="preserve">mlouvy zavazují uzavřít do 5 pracovních dnů od výzvy druhé ze stran této </w:t>
      </w:r>
      <w:r w:rsidR="0019477B">
        <w:rPr>
          <w:rFonts w:ascii="Times New Roman" w:hAnsi="Times New Roman" w:cs="Times New Roman"/>
          <w:sz w:val="24"/>
          <w:szCs w:val="24"/>
        </w:rPr>
        <w:t>S</w:t>
      </w:r>
      <w:r w:rsidR="00146E80">
        <w:rPr>
          <w:rFonts w:ascii="Times New Roman" w:hAnsi="Times New Roman" w:cs="Times New Roman"/>
          <w:sz w:val="24"/>
          <w:szCs w:val="24"/>
        </w:rPr>
        <w:t xml:space="preserve">mlouvy dodatek k této </w:t>
      </w:r>
      <w:r w:rsidR="0019477B">
        <w:rPr>
          <w:rFonts w:ascii="Times New Roman" w:hAnsi="Times New Roman" w:cs="Times New Roman"/>
          <w:sz w:val="24"/>
          <w:szCs w:val="24"/>
        </w:rPr>
        <w:t>S</w:t>
      </w:r>
      <w:r w:rsidR="00146E80">
        <w:rPr>
          <w:rFonts w:ascii="Times New Roman" w:hAnsi="Times New Roman" w:cs="Times New Roman"/>
          <w:sz w:val="24"/>
          <w:szCs w:val="24"/>
        </w:rPr>
        <w:t xml:space="preserve">mlouvě nahrazující oddělitelné ustanovení této </w:t>
      </w:r>
      <w:r w:rsidR="0019477B">
        <w:rPr>
          <w:rFonts w:ascii="Times New Roman" w:hAnsi="Times New Roman" w:cs="Times New Roman"/>
          <w:sz w:val="24"/>
          <w:szCs w:val="24"/>
        </w:rPr>
        <w:t>S</w:t>
      </w:r>
      <w:r w:rsidR="00146E80">
        <w:rPr>
          <w:rFonts w:ascii="Times New Roman" w:hAnsi="Times New Roman" w:cs="Times New Roman"/>
          <w:sz w:val="24"/>
          <w:szCs w:val="24"/>
        </w:rPr>
        <w:t>mlouvy, které je neplatné či nevynutitelné, platným a vynutitelným ustanovením odpovídajícím hospodářskému účelu takto nahrazovaného ustanovení.</w:t>
      </w:r>
    </w:p>
    <w:p w14:paraId="1F94C3D6" w14:textId="7559C710" w:rsidR="00C968D9" w:rsidRDefault="00C968D9" w:rsidP="00146E80">
      <w:pPr>
        <w:pStyle w:val="Odstavecseseznamem"/>
        <w:numPr>
          <w:ilvl w:val="0"/>
          <w:numId w:val="23"/>
        </w:numPr>
        <w:spacing w:after="0" w:line="240"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4E65DCC6" w:rsidR="002475C9" w:rsidRPr="007D674A" w:rsidRDefault="002475C9" w:rsidP="00146E80">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 xml:space="preserve">V souladu se Smlouvou o poskytnutí finančních prostředků z rozpočtu Státního fondu dopravní                    infrastruktury přináleží Státnímu fondu dopravní infrastruktury právo na zajišťování veškerých podkladů a údajů nutných pro kontrolu hospodárného, účelného a efektivního nakládání s účelově poskytnutými finančními prostředky u </w:t>
      </w:r>
      <w:r w:rsidR="00533B31">
        <w:rPr>
          <w:rFonts w:ascii="Times New Roman" w:hAnsi="Times New Roman" w:cs="Times New Roman"/>
          <w:sz w:val="24"/>
          <w:szCs w:val="24"/>
        </w:rPr>
        <w:t>Poskytovatele</w:t>
      </w:r>
      <w:r w:rsidRPr="003B32D8">
        <w:rPr>
          <w:rFonts w:ascii="Times New Roman" w:hAnsi="Times New Roman" w:cs="Times New Roman"/>
          <w:sz w:val="24"/>
          <w:szCs w:val="24"/>
        </w:rPr>
        <w:t>.</w:t>
      </w:r>
    </w:p>
    <w:p w14:paraId="6E71E6B8" w14:textId="71BEB282" w:rsidR="0019477B" w:rsidRPr="003B32D8" w:rsidRDefault="0019477B" w:rsidP="00146E80">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19477B">
        <w:rPr>
          <w:rFonts w:ascii="Times New Roman" w:eastAsia="Aptos" w:hAnsi="Times New Roman" w:cs="Times New Roman"/>
          <w:kern w:val="2"/>
          <w:sz w:val="24"/>
          <w:szCs w:val="24"/>
          <w14:ligatures w14:val="standardContextual"/>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 smluvní strany nedisponují elektronickými podpisy dle předchozí věty, je </w:t>
      </w:r>
      <w:r w:rsidR="00A274E9">
        <w:rPr>
          <w:rFonts w:ascii="Times New Roman" w:eastAsia="Aptos" w:hAnsi="Times New Roman" w:cs="Times New Roman"/>
          <w:kern w:val="2"/>
          <w:sz w:val="24"/>
          <w:szCs w:val="24"/>
          <w14:ligatures w14:val="standardContextual"/>
        </w:rPr>
        <w:t>Smlouva</w:t>
      </w:r>
      <w:r w:rsidRPr="0019477B">
        <w:rPr>
          <w:rFonts w:ascii="Times New Roman" w:eastAsia="Aptos" w:hAnsi="Times New Roman" w:cs="Times New Roman"/>
          <w:kern w:val="2"/>
          <w:sz w:val="24"/>
          <w:szCs w:val="24"/>
          <w14:ligatures w14:val="standardContextual"/>
        </w:rPr>
        <w:t xml:space="preserve"> vyhotovena v počtu dvou stejnopisů, z nichž jeden obdrží Objednatel a jeden </w:t>
      </w:r>
      <w:r>
        <w:rPr>
          <w:rFonts w:ascii="Times New Roman" w:eastAsia="Aptos" w:hAnsi="Times New Roman" w:cs="Times New Roman"/>
          <w:kern w:val="2"/>
          <w:sz w:val="24"/>
          <w:szCs w:val="24"/>
          <w14:ligatures w14:val="standardContextual"/>
        </w:rPr>
        <w:t>Poskytovatel</w:t>
      </w:r>
      <w:r w:rsidRPr="0019477B">
        <w:rPr>
          <w:rFonts w:ascii="Times New Roman" w:eastAsia="Aptos" w:hAnsi="Times New Roman" w:cs="Times New Roman"/>
          <w:kern w:val="2"/>
          <w:sz w:val="24"/>
          <w:szCs w:val="24"/>
          <w14:ligatures w14:val="standardContextual"/>
        </w:rPr>
        <w:t>.</w:t>
      </w:r>
    </w:p>
    <w:p w14:paraId="18931D79" w14:textId="77777777" w:rsidR="007D674A" w:rsidRDefault="007D674A" w:rsidP="0019477B">
      <w:pPr>
        <w:spacing w:before="120" w:after="120" w:line="276" w:lineRule="auto"/>
        <w:jc w:val="both"/>
        <w:rPr>
          <w:rFonts w:ascii="Times New Roman" w:hAnsi="Times New Roman" w:cs="Times New Roman"/>
          <w:sz w:val="24"/>
          <w:szCs w:val="24"/>
        </w:rPr>
      </w:pPr>
    </w:p>
    <w:p w14:paraId="106F0515" w14:textId="150FC206" w:rsidR="0019477B" w:rsidRDefault="0019477B" w:rsidP="0019477B">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968D9" w:rsidRPr="007D674A">
        <w:rPr>
          <w:rFonts w:ascii="Times New Roman" w:hAnsi="Times New Roman" w:cs="Times New Roman"/>
          <w:sz w:val="24"/>
          <w:szCs w:val="24"/>
        </w:rPr>
        <w:t>Příloha</w:t>
      </w:r>
    </w:p>
    <w:p w14:paraId="39F0836C" w14:textId="1E85DCA9" w:rsidR="00C968D9" w:rsidRDefault="00C968D9" w:rsidP="0019477B">
      <w:pPr>
        <w:spacing w:before="120" w:after="120" w:line="276" w:lineRule="auto"/>
        <w:jc w:val="both"/>
        <w:rPr>
          <w:rFonts w:ascii="Times New Roman" w:hAnsi="Times New Roman" w:cs="Times New Roman"/>
          <w:sz w:val="24"/>
          <w:szCs w:val="24"/>
        </w:rPr>
      </w:pPr>
      <w:r w:rsidRPr="007D674A">
        <w:rPr>
          <w:rFonts w:ascii="Times New Roman" w:hAnsi="Times New Roman" w:cs="Times New Roman"/>
          <w:sz w:val="24"/>
          <w:szCs w:val="24"/>
        </w:rPr>
        <w:t xml:space="preserve"> č. 1 – </w:t>
      </w:r>
      <w:r w:rsidR="00304E4C" w:rsidRPr="007D674A">
        <w:rPr>
          <w:rFonts w:ascii="Times New Roman" w:hAnsi="Times New Roman" w:cs="Times New Roman"/>
          <w:sz w:val="24"/>
          <w:szCs w:val="24"/>
        </w:rPr>
        <w:t>Soupis</w:t>
      </w:r>
      <w:r w:rsidRPr="007D674A">
        <w:rPr>
          <w:rFonts w:ascii="Times New Roman" w:hAnsi="Times New Roman" w:cs="Times New Roman"/>
          <w:sz w:val="24"/>
          <w:szCs w:val="24"/>
        </w:rPr>
        <w:t xml:space="preserve"> Služeb</w:t>
      </w:r>
    </w:p>
    <w:p w14:paraId="188E20D0" w14:textId="77777777" w:rsidR="0019477B" w:rsidRPr="007D674A" w:rsidRDefault="0019477B" w:rsidP="007D674A">
      <w:pPr>
        <w:spacing w:before="120" w:after="120" w:line="276" w:lineRule="auto"/>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58F4BB42"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r w:rsidR="00EC6A2F">
              <w:rPr>
                <w:rFonts w:ascii="Times New Roman" w:hAnsi="Times New Roman" w:cs="Times New Roman"/>
                <w:sz w:val="24"/>
                <w:szCs w:val="24"/>
              </w:rPr>
              <w:t xml:space="preserve"> viz. elektronický podpis</w:t>
            </w:r>
          </w:p>
        </w:tc>
        <w:tc>
          <w:tcPr>
            <w:tcW w:w="4605" w:type="dxa"/>
          </w:tcPr>
          <w:p w14:paraId="2D3C973E" w14:textId="377C9E2B"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r w:rsidR="00EC6A2F">
              <w:rPr>
                <w:rFonts w:ascii="Times New Roman" w:hAnsi="Times New Roman" w:cs="Times New Roman"/>
                <w:sz w:val="24"/>
                <w:szCs w:val="24"/>
              </w:rPr>
              <w:t xml:space="preserve"> </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B9785E"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 xml:space="preserve">Ing. </w:t>
            </w:r>
            <w:r w:rsidR="00533B31" w:rsidRPr="00533B31">
              <w:rPr>
                <w:rFonts w:ascii="Times New Roman" w:hAnsi="Times New Roman" w:cs="Times New Roman"/>
                <w:sz w:val="24"/>
                <w:szCs w:val="24"/>
              </w:rPr>
              <w:t>Zdeněk Vašák</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9E7037">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01831" w14:textId="77777777" w:rsidR="006955F2" w:rsidRDefault="006955F2" w:rsidP="00A3112D">
      <w:pPr>
        <w:spacing w:after="0" w:line="240" w:lineRule="auto"/>
      </w:pPr>
      <w:r>
        <w:separator/>
      </w:r>
    </w:p>
  </w:endnote>
  <w:endnote w:type="continuationSeparator" w:id="0">
    <w:p w14:paraId="6BA250C5" w14:textId="77777777" w:rsidR="006955F2" w:rsidRDefault="006955F2"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A06D3" w14:textId="77777777" w:rsidR="006955F2" w:rsidRDefault="006955F2" w:rsidP="00A3112D">
      <w:pPr>
        <w:spacing w:after="0" w:line="240" w:lineRule="auto"/>
      </w:pPr>
      <w:r>
        <w:separator/>
      </w:r>
    </w:p>
  </w:footnote>
  <w:footnote w:type="continuationSeparator" w:id="0">
    <w:p w14:paraId="620007DC" w14:textId="77777777" w:rsidR="006955F2" w:rsidRDefault="006955F2"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693800892">
    <w:abstractNumId w:val="22"/>
  </w:num>
  <w:num w:numId="2" w16cid:durableId="1295676086">
    <w:abstractNumId w:val="26"/>
  </w:num>
  <w:num w:numId="3" w16cid:durableId="1541892747">
    <w:abstractNumId w:val="7"/>
  </w:num>
  <w:num w:numId="4" w16cid:durableId="576020847">
    <w:abstractNumId w:val="10"/>
  </w:num>
  <w:num w:numId="5" w16cid:durableId="672562975">
    <w:abstractNumId w:val="11"/>
  </w:num>
  <w:num w:numId="6" w16cid:durableId="1411853360">
    <w:abstractNumId w:val="9"/>
  </w:num>
  <w:num w:numId="7" w16cid:durableId="892228064">
    <w:abstractNumId w:val="5"/>
  </w:num>
  <w:num w:numId="8" w16cid:durableId="794759763">
    <w:abstractNumId w:val="1"/>
  </w:num>
  <w:num w:numId="9" w16cid:durableId="2106917217">
    <w:abstractNumId w:val="21"/>
  </w:num>
  <w:num w:numId="10" w16cid:durableId="21518506">
    <w:abstractNumId w:val="24"/>
  </w:num>
  <w:num w:numId="11" w16cid:durableId="1002701331">
    <w:abstractNumId w:val="16"/>
  </w:num>
  <w:num w:numId="12" w16cid:durableId="1631932030">
    <w:abstractNumId w:val="12"/>
  </w:num>
  <w:num w:numId="13" w16cid:durableId="1707486075">
    <w:abstractNumId w:val="19"/>
  </w:num>
  <w:num w:numId="14" w16cid:durableId="1448309550">
    <w:abstractNumId w:val="13"/>
  </w:num>
  <w:num w:numId="15" w16cid:durableId="1700937248">
    <w:abstractNumId w:val="3"/>
  </w:num>
  <w:num w:numId="16" w16cid:durableId="897663418">
    <w:abstractNumId w:val="8"/>
  </w:num>
  <w:num w:numId="17" w16cid:durableId="1446801755">
    <w:abstractNumId w:val="14"/>
  </w:num>
  <w:num w:numId="18" w16cid:durableId="1170290539">
    <w:abstractNumId w:val="6"/>
  </w:num>
  <w:num w:numId="19" w16cid:durableId="850795103">
    <w:abstractNumId w:val="25"/>
  </w:num>
  <w:num w:numId="20" w16cid:durableId="1790003830">
    <w:abstractNumId w:val="18"/>
  </w:num>
  <w:num w:numId="21" w16cid:durableId="296111018">
    <w:abstractNumId w:val="23"/>
  </w:num>
  <w:num w:numId="22" w16cid:durableId="1069154675">
    <w:abstractNumId w:val="0"/>
  </w:num>
  <w:num w:numId="23" w16cid:durableId="715934424">
    <w:abstractNumId w:val="17"/>
  </w:num>
  <w:num w:numId="24" w16cid:durableId="1108544004">
    <w:abstractNumId w:val="4"/>
  </w:num>
  <w:num w:numId="25" w16cid:durableId="639113911">
    <w:abstractNumId w:val="15"/>
  </w:num>
  <w:num w:numId="26" w16cid:durableId="2039232904">
    <w:abstractNumId w:val="2"/>
  </w:num>
  <w:num w:numId="27" w16cid:durableId="15519195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271B"/>
    <w:rsid w:val="00015408"/>
    <w:rsid w:val="00017EF8"/>
    <w:rsid w:val="00023AFB"/>
    <w:rsid w:val="00026D21"/>
    <w:rsid w:val="00031ACF"/>
    <w:rsid w:val="00034AB8"/>
    <w:rsid w:val="00037029"/>
    <w:rsid w:val="000425F2"/>
    <w:rsid w:val="00043809"/>
    <w:rsid w:val="000464E5"/>
    <w:rsid w:val="00046987"/>
    <w:rsid w:val="00052FD1"/>
    <w:rsid w:val="0006235F"/>
    <w:rsid w:val="00062975"/>
    <w:rsid w:val="00067D8D"/>
    <w:rsid w:val="00070D84"/>
    <w:rsid w:val="0007566F"/>
    <w:rsid w:val="00090D31"/>
    <w:rsid w:val="00091B6E"/>
    <w:rsid w:val="00095FC1"/>
    <w:rsid w:val="00097695"/>
    <w:rsid w:val="000A3AF8"/>
    <w:rsid w:val="000B4B64"/>
    <w:rsid w:val="000B7770"/>
    <w:rsid w:val="000B790C"/>
    <w:rsid w:val="000E3716"/>
    <w:rsid w:val="000F1166"/>
    <w:rsid w:val="00104393"/>
    <w:rsid w:val="00104F92"/>
    <w:rsid w:val="0011345C"/>
    <w:rsid w:val="001160A5"/>
    <w:rsid w:val="001168EC"/>
    <w:rsid w:val="00120A80"/>
    <w:rsid w:val="00126863"/>
    <w:rsid w:val="00132F77"/>
    <w:rsid w:val="00146844"/>
    <w:rsid w:val="00146E80"/>
    <w:rsid w:val="0016189E"/>
    <w:rsid w:val="001671E8"/>
    <w:rsid w:val="00167F44"/>
    <w:rsid w:val="001700A7"/>
    <w:rsid w:val="001715EC"/>
    <w:rsid w:val="00171A78"/>
    <w:rsid w:val="00176EA9"/>
    <w:rsid w:val="00180A6B"/>
    <w:rsid w:val="00185B59"/>
    <w:rsid w:val="00187017"/>
    <w:rsid w:val="00187B66"/>
    <w:rsid w:val="001931E1"/>
    <w:rsid w:val="0019477B"/>
    <w:rsid w:val="00194DFD"/>
    <w:rsid w:val="001A1D39"/>
    <w:rsid w:val="001B1D68"/>
    <w:rsid w:val="001E1129"/>
    <w:rsid w:val="001E268F"/>
    <w:rsid w:val="001E6D0F"/>
    <w:rsid w:val="001F2106"/>
    <w:rsid w:val="002118A7"/>
    <w:rsid w:val="00213317"/>
    <w:rsid w:val="00226BD7"/>
    <w:rsid w:val="002317D2"/>
    <w:rsid w:val="002475C9"/>
    <w:rsid w:val="002604F6"/>
    <w:rsid w:val="00262A7F"/>
    <w:rsid w:val="002667E8"/>
    <w:rsid w:val="00272DB5"/>
    <w:rsid w:val="00274081"/>
    <w:rsid w:val="00280A87"/>
    <w:rsid w:val="00294181"/>
    <w:rsid w:val="00296CAB"/>
    <w:rsid w:val="002A090C"/>
    <w:rsid w:val="002B5928"/>
    <w:rsid w:val="002C4E17"/>
    <w:rsid w:val="002C587A"/>
    <w:rsid w:val="002D41AC"/>
    <w:rsid w:val="002E3672"/>
    <w:rsid w:val="00304E4C"/>
    <w:rsid w:val="0031181E"/>
    <w:rsid w:val="003149EE"/>
    <w:rsid w:val="003179EC"/>
    <w:rsid w:val="00325EC1"/>
    <w:rsid w:val="003338A0"/>
    <w:rsid w:val="00361001"/>
    <w:rsid w:val="00362DAA"/>
    <w:rsid w:val="00371A47"/>
    <w:rsid w:val="003857AC"/>
    <w:rsid w:val="003941CC"/>
    <w:rsid w:val="003A2419"/>
    <w:rsid w:val="003A3D70"/>
    <w:rsid w:val="003B0C17"/>
    <w:rsid w:val="003C1F70"/>
    <w:rsid w:val="003C72EF"/>
    <w:rsid w:val="003D2A6B"/>
    <w:rsid w:val="003D5769"/>
    <w:rsid w:val="003D5824"/>
    <w:rsid w:val="003E3FA7"/>
    <w:rsid w:val="003F15F2"/>
    <w:rsid w:val="003F172E"/>
    <w:rsid w:val="003F73AF"/>
    <w:rsid w:val="004024BF"/>
    <w:rsid w:val="00404B43"/>
    <w:rsid w:val="00412BAC"/>
    <w:rsid w:val="004164BE"/>
    <w:rsid w:val="00420E84"/>
    <w:rsid w:val="004338F0"/>
    <w:rsid w:val="00437137"/>
    <w:rsid w:val="004442C8"/>
    <w:rsid w:val="004537EB"/>
    <w:rsid w:val="004662B4"/>
    <w:rsid w:val="004717ED"/>
    <w:rsid w:val="004718B5"/>
    <w:rsid w:val="00474C3B"/>
    <w:rsid w:val="0047619D"/>
    <w:rsid w:val="00481CA9"/>
    <w:rsid w:val="00483514"/>
    <w:rsid w:val="00486B75"/>
    <w:rsid w:val="004903BE"/>
    <w:rsid w:val="004917B6"/>
    <w:rsid w:val="00494A7E"/>
    <w:rsid w:val="00494E55"/>
    <w:rsid w:val="004B22F6"/>
    <w:rsid w:val="004C4F44"/>
    <w:rsid w:val="004C7260"/>
    <w:rsid w:val="004D2308"/>
    <w:rsid w:val="004F1901"/>
    <w:rsid w:val="004F2A33"/>
    <w:rsid w:val="004F601F"/>
    <w:rsid w:val="004F7F07"/>
    <w:rsid w:val="00501932"/>
    <w:rsid w:val="00505903"/>
    <w:rsid w:val="00505E07"/>
    <w:rsid w:val="00506B29"/>
    <w:rsid w:val="00512798"/>
    <w:rsid w:val="00513185"/>
    <w:rsid w:val="00527FD2"/>
    <w:rsid w:val="00531852"/>
    <w:rsid w:val="005324BF"/>
    <w:rsid w:val="00533B31"/>
    <w:rsid w:val="0054753D"/>
    <w:rsid w:val="00554DF5"/>
    <w:rsid w:val="00555ACC"/>
    <w:rsid w:val="005705CA"/>
    <w:rsid w:val="005912F1"/>
    <w:rsid w:val="00595474"/>
    <w:rsid w:val="005B109A"/>
    <w:rsid w:val="005B2651"/>
    <w:rsid w:val="005B3F8F"/>
    <w:rsid w:val="005C7EE1"/>
    <w:rsid w:val="005D215F"/>
    <w:rsid w:val="005E6AF0"/>
    <w:rsid w:val="005F12D2"/>
    <w:rsid w:val="005F1441"/>
    <w:rsid w:val="005F17D8"/>
    <w:rsid w:val="005F6C91"/>
    <w:rsid w:val="005F6CCF"/>
    <w:rsid w:val="00602156"/>
    <w:rsid w:val="006234A7"/>
    <w:rsid w:val="00625D77"/>
    <w:rsid w:val="006327DC"/>
    <w:rsid w:val="006376CF"/>
    <w:rsid w:val="006421ED"/>
    <w:rsid w:val="00670FE5"/>
    <w:rsid w:val="00674235"/>
    <w:rsid w:val="00677D39"/>
    <w:rsid w:val="00683AB4"/>
    <w:rsid w:val="00685B55"/>
    <w:rsid w:val="006903CF"/>
    <w:rsid w:val="00691D95"/>
    <w:rsid w:val="006955F2"/>
    <w:rsid w:val="00697385"/>
    <w:rsid w:val="006A62A1"/>
    <w:rsid w:val="006C2E6B"/>
    <w:rsid w:val="006D53C3"/>
    <w:rsid w:val="00701D38"/>
    <w:rsid w:val="00706AAE"/>
    <w:rsid w:val="00710C02"/>
    <w:rsid w:val="00713FA1"/>
    <w:rsid w:val="007152D9"/>
    <w:rsid w:val="00717675"/>
    <w:rsid w:val="007236A7"/>
    <w:rsid w:val="0073126C"/>
    <w:rsid w:val="007313B8"/>
    <w:rsid w:val="007347A9"/>
    <w:rsid w:val="007364A0"/>
    <w:rsid w:val="00743EFF"/>
    <w:rsid w:val="007476D5"/>
    <w:rsid w:val="00753DC4"/>
    <w:rsid w:val="00755BAA"/>
    <w:rsid w:val="00763383"/>
    <w:rsid w:val="00784439"/>
    <w:rsid w:val="00786B9C"/>
    <w:rsid w:val="007940B7"/>
    <w:rsid w:val="007A37B2"/>
    <w:rsid w:val="007A7B51"/>
    <w:rsid w:val="007B1C61"/>
    <w:rsid w:val="007B4CFE"/>
    <w:rsid w:val="007B7B7E"/>
    <w:rsid w:val="007C10CB"/>
    <w:rsid w:val="007C1765"/>
    <w:rsid w:val="007C2D12"/>
    <w:rsid w:val="007C798B"/>
    <w:rsid w:val="007D674A"/>
    <w:rsid w:val="007D7B34"/>
    <w:rsid w:val="007E06C2"/>
    <w:rsid w:val="007E72CA"/>
    <w:rsid w:val="007F1DC4"/>
    <w:rsid w:val="007F6A00"/>
    <w:rsid w:val="007F708C"/>
    <w:rsid w:val="00803806"/>
    <w:rsid w:val="00806B6C"/>
    <w:rsid w:val="00816B9B"/>
    <w:rsid w:val="0081767E"/>
    <w:rsid w:val="0082703C"/>
    <w:rsid w:val="00843F14"/>
    <w:rsid w:val="008526D8"/>
    <w:rsid w:val="008528A9"/>
    <w:rsid w:val="008612A1"/>
    <w:rsid w:val="0086275D"/>
    <w:rsid w:val="008746E9"/>
    <w:rsid w:val="008827B1"/>
    <w:rsid w:val="00882D1C"/>
    <w:rsid w:val="00891A8A"/>
    <w:rsid w:val="00894ADB"/>
    <w:rsid w:val="008A32B1"/>
    <w:rsid w:val="008C51B3"/>
    <w:rsid w:val="008C5799"/>
    <w:rsid w:val="008C5E00"/>
    <w:rsid w:val="008D4CB0"/>
    <w:rsid w:val="008E3107"/>
    <w:rsid w:val="008F678F"/>
    <w:rsid w:val="00905AC6"/>
    <w:rsid w:val="00905E93"/>
    <w:rsid w:val="00906A68"/>
    <w:rsid w:val="0090774B"/>
    <w:rsid w:val="009226CF"/>
    <w:rsid w:val="009249CA"/>
    <w:rsid w:val="009261D0"/>
    <w:rsid w:val="009419B8"/>
    <w:rsid w:val="0094791C"/>
    <w:rsid w:val="00952929"/>
    <w:rsid w:val="009578A3"/>
    <w:rsid w:val="0096212E"/>
    <w:rsid w:val="009744BC"/>
    <w:rsid w:val="009772FC"/>
    <w:rsid w:val="009A5EFE"/>
    <w:rsid w:val="009C204A"/>
    <w:rsid w:val="009D0185"/>
    <w:rsid w:val="009D75F6"/>
    <w:rsid w:val="009E172F"/>
    <w:rsid w:val="009E7037"/>
    <w:rsid w:val="009F13F1"/>
    <w:rsid w:val="009F57FF"/>
    <w:rsid w:val="009F5993"/>
    <w:rsid w:val="00A00C76"/>
    <w:rsid w:val="00A013D4"/>
    <w:rsid w:val="00A23442"/>
    <w:rsid w:val="00A274E9"/>
    <w:rsid w:val="00A3112D"/>
    <w:rsid w:val="00A3752E"/>
    <w:rsid w:val="00A37733"/>
    <w:rsid w:val="00A45456"/>
    <w:rsid w:val="00A47794"/>
    <w:rsid w:val="00A55181"/>
    <w:rsid w:val="00A63BF0"/>
    <w:rsid w:val="00A773F4"/>
    <w:rsid w:val="00A859DB"/>
    <w:rsid w:val="00A86A84"/>
    <w:rsid w:val="00A9772E"/>
    <w:rsid w:val="00AA0A10"/>
    <w:rsid w:val="00AA2E1F"/>
    <w:rsid w:val="00AB2C5E"/>
    <w:rsid w:val="00AB35B4"/>
    <w:rsid w:val="00AC68AE"/>
    <w:rsid w:val="00AC6B73"/>
    <w:rsid w:val="00AE0ECB"/>
    <w:rsid w:val="00B02C16"/>
    <w:rsid w:val="00B1452D"/>
    <w:rsid w:val="00B14735"/>
    <w:rsid w:val="00B14E8A"/>
    <w:rsid w:val="00B21942"/>
    <w:rsid w:val="00B249DE"/>
    <w:rsid w:val="00B425D7"/>
    <w:rsid w:val="00B550D4"/>
    <w:rsid w:val="00B56323"/>
    <w:rsid w:val="00B64EBC"/>
    <w:rsid w:val="00B711E9"/>
    <w:rsid w:val="00B878D3"/>
    <w:rsid w:val="00B97EDE"/>
    <w:rsid w:val="00BA41CA"/>
    <w:rsid w:val="00BB0AFD"/>
    <w:rsid w:val="00BD081B"/>
    <w:rsid w:val="00BD2FA9"/>
    <w:rsid w:val="00BE7012"/>
    <w:rsid w:val="00BF2313"/>
    <w:rsid w:val="00BF6719"/>
    <w:rsid w:val="00C03412"/>
    <w:rsid w:val="00C1406D"/>
    <w:rsid w:val="00C1520A"/>
    <w:rsid w:val="00C20BED"/>
    <w:rsid w:val="00C45708"/>
    <w:rsid w:val="00C53465"/>
    <w:rsid w:val="00C54CE2"/>
    <w:rsid w:val="00C60886"/>
    <w:rsid w:val="00C74E74"/>
    <w:rsid w:val="00C75E80"/>
    <w:rsid w:val="00C823B0"/>
    <w:rsid w:val="00C846C7"/>
    <w:rsid w:val="00C968D9"/>
    <w:rsid w:val="00CA299E"/>
    <w:rsid w:val="00CB3E4D"/>
    <w:rsid w:val="00CC0243"/>
    <w:rsid w:val="00CD3056"/>
    <w:rsid w:val="00CD39C0"/>
    <w:rsid w:val="00CE7AEE"/>
    <w:rsid w:val="00CF17A4"/>
    <w:rsid w:val="00CF460A"/>
    <w:rsid w:val="00CF648D"/>
    <w:rsid w:val="00D050BB"/>
    <w:rsid w:val="00D0650D"/>
    <w:rsid w:val="00D17007"/>
    <w:rsid w:val="00D208A3"/>
    <w:rsid w:val="00D20C5C"/>
    <w:rsid w:val="00D235D4"/>
    <w:rsid w:val="00D242A9"/>
    <w:rsid w:val="00D27FBF"/>
    <w:rsid w:val="00D321C4"/>
    <w:rsid w:val="00D322A8"/>
    <w:rsid w:val="00D360B6"/>
    <w:rsid w:val="00D37EFD"/>
    <w:rsid w:val="00D41277"/>
    <w:rsid w:val="00D43B21"/>
    <w:rsid w:val="00D5746E"/>
    <w:rsid w:val="00D62540"/>
    <w:rsid w:val="00D64D8A"/>
    <w:rsid w:val="00D66073"/>
    <w:rsid w:val="00D7475D"/>
    <w:rsid w:val="00D85FF4"/>
    <w:rsid w:val="00D948FD"/>
    <w:rsid w:val="00D95186"/>
    <w:rsid w:val="00DA1A69"/>
    <w:rsid w:val="00DA274B"/>
    <w:rsid w:val="00DC10AD"/>
    <w:rsid w:val="00DC5831"/>
    <w:rsid w:val="00DD36DF"/>
    <w:rsid w:val="00DD39D6"/>
    <w:rsid w:val="00DF68E1"/>
    <w:rsid w:val="00E04710"/>
    <w:rsid w:val="00E106A7"/>
    <w:rsid w:val="00E14A67"/>
    <w:rsid w:val="00E15B68"/>
    <w:rsid w:val="00E2026B"/>
    <w:rsid w:val="00E30ABD"/>
    <w:rsid w:val="00E44F0E"/>
    <w:rsid w:val="00E632EF"/>
    <w:rsid w:val="00E817F0"/>
    <w:rsid w:val="00E82345"/>
    <w:rsid w:val="00E857F3"/>
    <w:rsid w:val="00E92CE6"/>
    <w:rsid w:val="00E976A9"/>
    <w:rsid w:val="00EA153C"/>
    <w:rsid w:val="00EA306D"/>
    <w:rsid w:val="00EA4FE8"/>
    <w:rsid w:val="00EB588F"/>
    <w:rsid w:val="00EB7BAE"/>
    <w:rsid w:val="00EC39D1"/>
    <w:rsid w:val="00EC3A5E"/>
    <w:rsid w:val="00EC48D1"/>
    <w:rsid w:val="00EC6A2F"/>
    <w:rsid w:val="00EE2673"/>
    <w:rsid w:val="00EE28B9"/>
    <w:rsid w:val="00EE75A4"/>
    <w:rsid w:val="00EF3CD3"/>
    <w:rsid w:val="00EF6F12"/>
    <w:rsid w:val="00F04D2B"/>
    <w:rsid w:val="00F06605"/>
    <w:rsid w:val="00F15BAE"/>
    <w:rsid w:val="00F17FB8"/>
    <w:rsid w:val="00F256BC"/>
    <w:rsid w:val="00F44C11"/>
    <w:rsid w:val="00F5716B"/>
    <w:rsid w:val="00F625B9"/>
    <w:rsid w:val="00F62998"/>
    <w:rsid w:val="00F65826"/>
    <w:rsid w:val="00F6649F"/>
    <w:rsid w:val="00F729A8"/>
    <w:rsid w:val="00F838D6"/>
    <w:rsid w:val="00F84207"/>
    <w:rsid w:val="00F91D26"/>
    <w:rsid w:val="00FA2156"/>
    <w:rsid w:val="00FB61CD"/>
    <w:rsid w:val="00FC6FDC"/>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eznamoslovan">
    <w:name w:val="Seznam očíslovaný"/>
    <w:basedOn w:val="Zkladntext"/>
    <w:rsid w:val="00187B66"/>
    <w:pPr>
      <w:widowControl w:val="0"/>
      <w:suppressAutoHyphens/>
      <w:spacing w:after="0" w:line="216" w:lineRule="auto"/>
      <w:ind w:left="480" w:hanging="480"/>
    </w:pPr>
    <w:rPr>
      <w:rFonts w:ascii="Arial" w:eastAsia="Arial" w:hAnsi="Arial" w:cs="Arial"/>
      <w:kern w:val="1"/>
      <w:lang w:eastAsia="ar-SA"/>
    </w:rPr>
  </w:style>
  <w:style w:type="paragraph" w:styleId="Revize">
    <w:name w:val="Revision"/>
    <w:hidden/>
    <w:uiPriority w:val="99"/>
    <w:semiHidden/>
    <w:rsid w:val="004F19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ce.tu@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ek.vasak@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2.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3.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4.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7</Pages>
  <Words>2552</Words>
  <Characters>15059</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Krátká Marie</cp:lastModifiedBy>
  <cp:revision>11</cp:revision>
  <cp:lastPrinted>2024-10-29T07:17:00Z</cp:lastPrinted>
  <dcterms:created xsi:type="dcterms:W3CDTF">2024-10-16T09:05:00Z</dcterms:created>
  <dcterms:modified xsi:type="dcterms:W3CDTF">2024-11-05T06:33:00Z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