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3CE11795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F6386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644A1B" w:rsidRPr="004F4B1C">
        <w:rPr>
          <w:rFonts w:ascii="Arial" w:eastAsia="Times New Roman" w:hAnsi="Arial" w:cs="Arial"/>
          <w:b/>
          <w:bCs/>
          <w:sz w:val="24"/>
          <w:szCs w:val="24"/>
        </w:rPr>
        <w:t>Oprava místní komunikace Benešovice - Štrampouch</w:t>
      </w:r>
      <w:r w:rsidRPr="004F6386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B66FA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B66FA"/>
    <w:rsid w:val="004D08FD"/>
    <w:rsid w:val="004F6386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44A1B"/>
    <w:rsid w:val="006803D9"/>
    <w:rsid w:val="006B26B3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C282B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35</cp:revision>
  <dcterms:created xsi:type="dcterms:W3CDTF">2024-08-15T21:31:00Z</dcterms:created>
  <dcterms:modified xsi:type="dcterms:W3CDTF">2025-08-14T14:41:00Z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